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7A" w:rsidRPr="00FC3A80" w:rsidRDefault="00190F4E" w:rsidP="007C20F4">
      <w:pPr>
        <w:pStyle w:val="CommentText"/>
        <w:ind w:right="386" w:firstLine="540"/>
        <w:jc w:val="both"/>
      </w:pPr>
      <w:r w:rsidRPr="00A72264">
        <w:rPr>
          <w:noProof/>
          <w:highlight w:val="yellow"/>
          <w:lang w:eastAsia="en-GB"/>
        </w:rPr>
        <mc:AlternateContent>
          <mc:Choice Requires="wps">
            <w:drawing>
              <wp:anchor distT="0" distB="0" distL="114300" distR="114300" simplePos="0" relativeHeight="251657728" behindDoc="0" locked="0" layoutInCell="1" allowOverlap="1" wp14:anchorId="7710E688" wp14:editId="7C199291">
                <wp:simplePos x="0" y="0"/>
                <wp:positionH relativeFrom="column">
                  <wp:posOffset>5029200</wp:posOffset>
                </wp:positionH>
                <wp:positionV relativeFrom="paragraph">
                  <wp:posOffset>-683895</wp:posOffset>
                </wp:positionV>
                <wp:extent cx="1143000" cy="1485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C99" w:rsidRDefault="00687C99">
                            <w:r>
                              <w:rPr>
                                <w:noProof/>
                                <w:lang w:eastAsia="en-GB"/>
                              </w:rPr>
                              <w:drawing>
                                <wp:inline distT="0" distB="0" distL="0" distR="0" wp14:anchorId="695D2A20" wp14:editId="65EFB32B">
                                  <wp:extent cx="944245" cy="1262380"/>
                                  <wp:effectExtent l="0" t="0" r="0" b="762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4245" cy="12623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687C99" w:rsidRDefault="00687C99">
                      <w:r>
                        <w:rPr>
                          <w:noProof/>
                          <w:lang w:eastAsia="en-GB"/>
                        </w:rPr>
                        <w:drawing>
                          <wp:inline distT="0" distB="0" distL="0" distR="0" wp14:anchorId="695D2A20" wp14:editId="65EFB32B">
                            <wp:extent cx="944245" cy="1262380"/>
                            <wp:effectExtent l="0" t="0" r="0" b="762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245" cy="1262380"/>
                                    </a:xfrm>
                                    <a:prstGeom prst="rect">
                                      <a:avLst/>
                                    </a:prstGeom>
                                    <a:noFill/>
                                    <a:ln>
                                      <a:noFill/>
                                    </a:ln>
                                  </pic:spPr>
                                </pic:pic>
                              </a:graphicData>
                            </a:graphic>
                          </wp:inline>
                        </w:drawing>
                      </w:r>
                    </w:p>
                  </w:txbxContent>
                </v:textbox>
              </v:shape>
            </w:pict>
          </mc:Fallback>
        </mc:AlternateContent>
      </w:r>
      <w:r w:rsidR="00F4367A" w:rsidRPr="00FC3A80">
        <w:t xml:space="preserve">                                                               </w:t>
      </w:r>
    </w:p>
    <w:p w:rsidR="00F4367A" w:rsidRPr="00FC3A80" w:rsidRDefault="00F4367A" w:rsidP="007C20F4">
      <w:pPr>
        <w:ind w:right="386" w:firstLine="540"/>
        <w:jc w:val="both"/>
        <w:rPr>
          <w:b/>
          <w:bCs/>
          <w:sz w:val="22"/>
          <w:szCs w:val="22"/>
        </w:rPr>
      </w:pPr>
    </w:p>
    <w:p w:rsidR="004A2165" w:rsidRDefault="004A2165" w:rsidP="007C20F4">
      <w:pPr>
        <w:tabs>
          <w:tab w:val="left" w:pos="2160"/>
        </w:tabs>
        <w:ind w:right="386" w:firstLine="540"/>
        <w:jc w:val="both"/>
        <w:rPr>
          <w:rFonts w:cs="Arial"/>
          <w:b/>
          <w:bCs/>
        </w:rPr>
      </w:pPr>
    </w:p>
    <w:p w:rsidR="004A2165" w:rsidRDefault="004A2165" w:rsidP="007C20F4">
      <w:pPr>
        <w:tabs>
          <w:tab w:val="left" w:pos="2160"/>
        </w:tabs>
        <w:ind w:right="386" w:firstLine="540"/>
        <w:jc w:val="both"/>
        <w:rPr>
          <w:rFonts w:cs="Arial"/>
          <w:b/>
          <w:bCs/>
        </w:rPr>
      </w:pPr>
    </w:p>
    <w:p w:rsidR="004A2165" w:rsidRDefault="004A2165" w:rsidP="007C20F4">
      <w:pPr>
        <w:tabs>
          <w:tab w:val="left" w:pos="2160"/>
        </w:tabs>
        <w:ind w:right="386" w:firstLine="540"/>
        <w:jc w:val="both"/>
        <w:rPr>
          <w:rFonts w:cs="Arial"/>
          <w:b/>
          <w:bCs/>
        </w:rPr>
      </w:pPr>
    </w:p>
    <w:p w:rsidR="00F4367A" w:rsidRDefault="00F4367A" w:rsidP="007C20F4">
      <w:pPr>
        <w:ind w:right="386" w:firstLine="540"/>
        <w:jc w:val="both"/>
        <w:rPr>
          <w:rFonts w:cs="Arial"/>
        </w:rPr>
      </w:pPr>
    </w:p>
    <w:tbl>
      <w:tblPr>
        <w:tblW w:w="0" w:type="auto"/>
        <w:tblInd w:w="108" w:type="dxa"/>
        <w:tblLayout w:type="fixed"/>
        <w:tblLook w:val="04A0" w:firstRow="1" w:lastRow="0" w:firstColumn="1" w:lastColumn="0" w:noHBand="0" w:noVBand="1"/>
      </w:tblPr>
      <w:tblGrid>
        <w:gridCol w:w="2438"/>
        <w:gridCol w:w="6406"/>
      </w:tblGrid>
      <w:tr w:rsidR="00940EBF" w:rsidTr="00940EBF">
        <w:tc>
          <w:tcPr>
            <w:tcW w:w="2438" w:type="dxa"/>
            <w:hideMark/>
          </w:tcPr>
          <w:p w:rsidR="00940EBF" w:rsidRDefault="00940EBF">
            <w:pPr>
              <w:spacing w:after="120"/>
              <w:rPr>
                <w:rStyle w:val="Firstpagetablebold"/>
                <w:rFonts w:cs="Times New Roman"/>
                <w:color w:val="000000"/>
              </w:rPr>
            </w:pPr>
            <w:r>
              <w:rPr>
                <w:rStyle w:val="Firstpagetablebold"/>
              </w:rPr>
              <w:t>To:</w:t>
            </w:r>
          </w:p>
        </w:tc>
        <w:tc>
          <w:tcPr>
            <w:tcW w:w="6406" w:type="dxa"/>
            <w:hideMark/>
          </w:tcPr>
          <w:p w:rsidR="00940EBF" w:rsidRDefault="00940EBF">
            <w:pPr>
              <w:spacing w:after="120"/>
              <w:rPr>
                <w:rStyle w:val="Firstpagetablebold"/>
              </w:rPr>
            </w:pPr>
            <w:r>
              <w:rPr>
                <w:rStyle w:val="Firstpagetablebold"/>
              </w:rPr>
              <w:t>City Executive Board</w:t>
            </w:r>
          </w:p>
          <w:p w:rsidR="00940EBF" w:rsidRDefault="00940EBF">
            <w:pPr>
              <w:spacing w:after="120"/>
              <w:rPr>
                <w:rStyle w:val="Firstpagetablebold"/>
                <w:rFonts w:cs="Times New Roman"/>
                <w:color w:val="000000"/>
              </w:rPr>
            </w:pPr>
            <w:r>
              <w:rPr>
                <w:rStyle w:val="Firstpagetablebold"/>
              </w:rPr>
              <w:t>Council</w:t>
            </w:r>
          </w:p>
        </w:tc>
      </w:tr>
      <w:tr w:rsidR="00940EBF" w:rsidTr="00940EBF">
        <w:tc>
          <w:tcPr>
            <w:tcW w:w="2438" w:type="dxa"/>
            <w:hideMark/>
          </w:tcPr>
          <w:p w:rsidR="00940EBF" w:rsidRDefault="00940EBF">
            <w:pPr>
              <w:spacing w:after="120"/>
              <w:rPr>
                <w:rStyle w:val="Firstpagetablebold"/>
                <w:rFonts w:cs="Times New Roman"/>
                <w:color w:val="000000"/>
              </w:rPr>
            </w:pPr>
            <w:r>
              <w:rPr>
                <w:rStyle w:val="Firstpagetablebold"/>
              </w:rPr>
              <w:t>Date:</w:t>
            </w:r>
          </w:p>
        </w:tc>
        <w:tc>
          <w:tcPr>
            <w:tcW w:w="6406" w:type="dxa"/>
            <w:hideMark/>
          </w:tcPr>
          <w:p w:rsidR="00940EBF" w:rsidRDefault="00940EBF">
            <w:pPr>
              <w:spacing w:after="120"/>
              <w:rPr>
                <w:rStyle w:val="Firstpagetablebold"/>
              </w:rPr>
            </w:pPr>
            <w:r>
              <w:rPr>
                <w:rStyle w:val="Firstpagetablebold"/>
              </w:rPr>
              <w:t>9 February 2017</w:t>
            </w:r>
          </w:p>
          <w:p w:rsidR="00940EBF" w:rsidRDefault="00940EBF">
            <w:pPr>
              <w:spacing w:after="120"/>
              <w:rPr>
                <w:b/>
                <w:color w:val="000000"/>
              </w:rPr>
            </w:pPr>
            <w:r>
              <w:rPr>
                <w:rStyle w:val="Firstpagetablebold"/>
              </w:rPr>
              <w:t>20 February 2017</w:t>
            </w:r>
          </w:p>
        </w:tc>
      </w:tr>
      <w:tr w:rsidR="00940EBF" w:rsidTr="00940EBF">
        <w:tc>
          <w:tcPr>
            <w:tcW w:w="2438" w:type="dxa"/>
            <w:hideMark/>
          </w:tcPr>
          <w:p w:rsidR="00940EBF" w:rsidRDefault="00940EBF">
            <w:pPr>
              <w:spacing w:after="120"/>
              <w:rPr>
                <w:rStyle w:val="Firstpagetablebold"/>
                <w:rFonts w:cs="Times New Roman"/>
                <w:color w:val="000000"/>
              </w:rPr>
            </w:pPr>
            <w:r>
              <w:rPr>
                <w:rStyle w:val="Firstpagetablebold"/>
              </w:rPr>
              <w:t>Report of:</w:t>
            </w:r>
          </w:p>
        </w:tc>
        <w:tc>
          <w:tcPr>
            <w:tcW w:w="6406" w:type="dxa"/>
            <w:hideMark/>
          </w:tcPr>
          <w:p w:rsidR="00940EBF" w:rsidRDefault="00940EBF">
            <w:pPr>
              <w:spacing w:after="120"/>
              <w:rPr>
                <w:rStyle w:val="Firstpagetablebold"/>
                <w:rFonts w:cs="Times New Roman"/>
                <w:color w:val="000000"/>
              </w:rPr>
            </w:pPr>
            <w:r>
              <w:rPr>
                <w:rStyle w:val="Firstpagetablebold"/>
              </w:rPr>
              <w:t>Head of Financial Services</w:t>
            </w:r>
          </w:p>
        </w:tc>
      </w:tr>
      <w:tr w:rsidR="00940EBF" w:rsidTr="00940EBF">
        <w:trPr>
          <w:trHeight w:val="910"/>
        </w:trPr>
        <w:tc>
          <w:tcPr>
            <w:tcW w:w="2438" w:type="dxa"/>
            <w:hideMark/>
          </w:tcPr>
          <w:p w:rsidR="00940EBF" w:rsidRDefault="00940EBF">
            <w:pPr>
              <w:spacing w:after="120"/>
              <w:rPr>
                <w:rStyle w:val="Firstpagetablebold"/>
                <w:rFonts w:cs="Times New Roman"/>
                <w:color w:val="000000"/>
              </w:rPr>
            </w:pPr>
            <w:r>
              <w:rPr>
                <w:rStyle w:val="Firstpagetablebold"/>
              </w:rPr>
              <w:t xml:space="preserve">Title of Report: </w:t>
            </w:r>
          </w:p>
        </w:tc>
        <w:tc>
          <w:tcPr>
            <w:tcW w:w="6406" w:type="dxa"/>
            <w:hideMark/>
          </w:tcPr>
          <w:p w:rsidR="00940EBF" w:rsidRDefault="00940EBF">
            <w:pPr>
              <w:spacing w:after="120"/>
              <w:rPr>
                <w:rStyle w:val="Firstpagetablebold"/>
                <w:rFonts w:cs="Times New Roman"/>
                <w:color w:val="000000"/>
              </w:rPr>
            </w:pPr>
            <w:r w:rsidRPr="00940EBF">
              <w:rPr>
                <w:rStyle w:val="Firstpagetablebold"/>
              </w:rPr>
              <w:t>Medium Term Financial Strategy 2017-18 to 2020-21 and 2017-18 Budget</w:t>
            </w:r>
          </w:p>
        </w:tc>
      </w:tr>
    </w:tbl>
    <w:p w:rsidR="00940EBF" w:rsidRDefault="00940EBF" w:rsidP="00940EBF">
      <w:pPr>
        <w:rPr>
          <w:color w:val="000000"/>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940EBF" w:rsidTr="00940EBF">
        <w:tc>
          <w:tcPr>
            <w:tcW w:w="8845" w:type="dxa"/>
            <w:gridSpan w:val="3"/>
            <w:tcBorders>
              <w:top w:val="single" w:sz="8" w:space="0" w:color="000000"/>
              <w:left w:val="single" w:sz="8" w:space="0" w:color="000000"/>
              <w:bottom w:val="single" w:sz="8" w:space="0" w:color="000000"/>
              <w:right w:val="single" w:sz="8" w:space="0" w:color="000000"/>
            </w:tcBorders>
            <w:hideMark/>
          </w:tcPr>
          <w:p w:rsidR="00940EBF" w:rsidRDefault="00940EBF">
            <w:pPr>
              <w:spacing w:after="120"/>
              <w:jc w:val="center"/>
              <w:rPr>
                <w:rStyle w:val="Firstpagetablebold"/>
                <w:rFonts w:cs="Times New Roman"/>
                <w:color w:val="000000"/>
              </w:rPr>
            </w:pPr>
            <w:r>
              <w:rPr>
                <w:rStyle w:val="Firstpagetablebold"/>
              </w:rPr>
              <w:t>Summary and recommendations</w:t>
            </w:r>
          </w:p>
        </w:tc>
      </w:tr>
      <w:tr w:rsidR="00940EBF" w:rsidTr="00940EBF">
        <w:tc>
          <w:tcPr>
            <w:tcW w:w="2438" w:type="dxa"/>
            <w:gridSpan w:val="2"/>
            <w:tcBorders>
              <w:top w:val="single" w:sz="8" w:space="0" w:color="000000"/>
              <w:left w:val="single" w:sz="8" w:space="0" w:color="000000"/>
              <w:bottom w:val="nil"/>
              <w:right w:val="nil"/>
            </w:tcBorders>
            <w:hideMark/>
          </w:tcPr>
          <w:p w:rsidR="00940EBF" w:rsidRDefault="00940EBF">
            <w:pPr>
              <w:spacing w:after="120"/>
              <w:rPr>
                <w:rStyle w:val="Firstpagetablebold"/>
                <w:rFonts w:cs="Times New Roman"/>
                <w:color w:val="000000"/>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940EBF" w:rsidRDefault="00940EBF">
            <w:pPr>
              <w:spacing w:after="120"/>
              <w:rPr>
                <w:color w:val="000000"/>
              </w:rPr>
            </w:pPr>
            <w:r w:rsidRPr="00940EBF">
              <w:t>To present the outcome of the budget consultation and agree the Council’s Medium Term Financial Strategy for 2017-21 and 2017-18 Budget for recommendation to Council</w:t>
            </w:r>
            <w:r w:rsidRPr="00940EBF">
              <w:tab/>
            </w:r>
          </w:p>
        </w:tc>
      </w:tr>
      <w:tr w:rsidR="00940EBF" w:rsidTr="00940EBF">
        <w:tc>
          <w:tcPr>
            <w:tcW w:w="2438" w:type="dxa"/>
            <w:gridSpan w:val="2"/>
            <w:tcBorders>
              <w:top w:val="nil"/>
              <w:left w:val="single" w:sz="8" w:space="0" w:color="000000"/>
              <w:bottom w:val="nil"/>
              <w:right w:val="nil"/>
            </w:tcBorders>
            <w:hideMark/>
          </w:tcPr>
          <w:p w:rsidR="00940EBF" w:rsidRDefault="00940EBF">
            <w:pPr>
              <w:spacing w:after="120"/>
              <w:rPr>
                <w:rStyle w:val="Firstpagetablebold"/>
                <w:rFonts w:cs="Times New Roman"/>
                <w:color w:val="000000"/>
              </w:rPr>
            </w:pPr>
            <w:r>
              <w:rPr>
                <w:rStyle w:val="Firstpagetablebold"/>
              </w:rPr>
              <w:t>Key decision:</w:t>
            </w:r>
          </w:p>
        </w:tc>
        <w:tc>
          <w:tcPr>
            <w:tcW w:w="6407" w:type="dxa"/>
            <w:tcBorders>
              <w:top w:val="nil"/>
              <w:left w:val="nil"/>
              <w:bottom w:val="nil"/>
              <w:right w:val="single" w:sz="8" w:space="0" w:color="000000"/>
            </w:tcBorders>
            <w:hideMark/>
          </w:tcPr>
          <w:p w:rsidR="00940EBF" w:rsidRDefault="00940EBF" w:rsidP="00940EBF">
            <w:pPr>
              <w:spacing w:after="120"/>
              <w:rPr>
                <w:color w:val="000000"/>
              </w:rPr>
            </w:pPr>
            <w:r>
              <w:t xml:space="preserve">Yes </w:t>
            </w:r>
          </w:p>
        </w:tc>
      </w:tr>
      <w:tr w:rsidR="00940EBF" w:rsidTr="00940EBF">
        <w:tc>
          <w:tcPr>
            <w:tcW w:w="2438" w:type="dxa"/>
            <w:gridSpan w:val="2"/>
            <w:tcBorders>
              <w:top w:val="nil"/>
              <w:left w:val="single" w:sz="8" w:space="0" w:color="000000"/>
              <w:bottom w:val="nil"/>
              <w:right w:val="nil"/>
            </w:tcBorders>
            <w:hideMark/>
          </w:tcPr>
          <w:p w:rsidR="00940EBF" w:rsidRDefault="00940EBF">
            <w:pPr>
              <w:spacing w:after="120"/>
              <w:rPr>
                <w:rStyle w:val="Firstpagetablebold"/>
                <w:rFonts w:cs="Times New Roman"/>
                <w:color w:val="000000"/>
              </w:rPr>
            </w:pPr>
            <w:r>
              <w:rPr>
                <w:rStyle w:val="Firstpagetablebold"/>
              </w:rPr>
              <w:t>Executive Board Member:</w:t>
            </w:r>
          </w:p>
        </w:tc>
        <w:tc>
          <w:tcPr>
            <w:tcW w:w="6407" w:type="dxa"/>
            <w:tcBorders>
              <w:top w:val="nil"/>
              <w:left w:val="nil"/>
              <w:bottom w:val="nil"/>
              <w:right w:val="single" w:sz="8" w:space="0" w:color="000000"/>
            </w:tcBorders>
            <w:hideMark/>
          </w:tcPr>
          <w:p w:rsidR="00940EBF" w:rsidRDefault="00940EBF">
            <w:pPr>
              <w:spacing w:after="120"/>
              <w:rPr>
                <w:color w:val="000000"/>
              </w:rPr>
            </w:pPr>
            <w:r w:rsidRPr="00940EBF">
              <w:t>Cllr Ed Turner, Finance, Asset Management and Public Health</w:t>
            </w:r>
          </w:p>
        </w:tc>
      </w:tr>
      <w:tr w:rsidR="00940EBF" w:rsidTr="00940EBF">
        <w:tc>
          <w:tcPr>
            <w:tcW w:w="2438" w:type="dxa"/>
            <w:gridSpan w:val="2"/>
            <w:tcBorders>
              <w:top w:val="nil"/>
              <w:left w:val="single" w:sz="8" w:space="0" w:color="000000"/>
              <w:bottom w:val="nil"/>
              <w:right w:val="nil"/>
            </w:tcBorders>
            <w:hideMark/>
          </w:tcPr>
          <w:p w:rsidR="00940EBF" w:rsidRDefault="00940EBF">
            <w:pPr>
              <w:spacing w:after="120"/>
              <w:rPr>
                <w:rStyle w:val="Firstpagetablebold"/>
                <w:rFonts w:cs="Times New Roman"/>
                <w:color w:val="000000"/>
              </w:rPr>
            </w:pPr>
            <w:r>
              <w:rPr>
                <w:rStyle w:val="Firstpagetablebold"/>
              </w:rPr>
              <w:t>Corporate Priority:</w:t>
            </w:r>
          </w:p>
        </w:tc>
        <w:tc>
          <w:tcPr>
            <w:tcW w:w="6407" w:type="dxa"/>
            <w:tcBorders>
              <w:top w:val="nil"/>
              <w:left w:val="nil"/>
              <w:bottom w:val="nil"/>
              <w:right w:val="single" w:sz="8" w:space="0" w:color="000000"/>
            </w:tcBorders>
            <w:hideMark/>
          </w:tcPr>
          <w:p w:rsidR="00940EBF" w:rsidRDefault="002C2501" w:rsidP="002C2501">
            <w:pPr>
              <w:spacing w:after="120"/>
              <w:rPr>
                <w:color w:val="000000"/>
              </w:rPr>
            </w:pPr>
            <w:r>
              <w:t xml:space="preserve">All </w:t>
            </w:r>
            <w:r w:rsidR="00940EBF">
              <w:t>Corporate Plan priorities</w:t>
            </w:r>
          </w:p>
        </w:tc>
      </w:tr>
      <w:tr w:rsidR="00940EBF" w:rsidTr="00940EBF">
        <w:tc>
          <w:tcPr>
            <w:tcW w:w="2438" w:type="dxa"/>
            <w:gridSpan w:val="2"/>
            <w:tcBorders>
              <w:top w:val="nil"/>
              <w:left w:val="single" w:sz="8" w:space="0" w:color="000000"/>
              <w:bottom w:val="nil"/>
              <w:right w:val="nil"/>
            </w:tcBorders>
            <w:hideMark/>
          </w:tcPr>
          <w:p w:rsidR="00940EBF" w:rsidRDefault="00940EBF">
            <w:pPr>
              <w:spacing w:after="120"/>
              <w:rPr>
                <w:rStyle w:val="Firstpagetablebold"/>
                <w:rFonts w:cs="Times New Roman"/>
                <w:color w:val="000000"/>
              </w:rPr>
            </w:pPr>
            <w:r>
              <w:rPr>
                <w:rStyle w:val="Firstpagetablebold"/>
              </w:rPr>
              <w:t>Policy Framework:</w:t>
            </w:r>
          </w:p>
        </w:tc>
        <w:tc>
          <w:tcPr>
            <w:tcW w:w="6407" w:type="dxa"/>
            <w:tcBorders>
              <w:top w:val="nil"/>
              <w:left w:val="nil"/>
              <w:bottom w:val="nil"/>
              <w:right w:val="single" w:sz="8" w:space="0" w:color="000000"/>
            </w:tcBorders>
            <w:hideMark/>
          </w:tcPr>
          <w:p w:rsidR="00940EBF" w:rsidRDefault="002C2501" w:rsidP="00D7557F">
            <w:pPr>
              <w:spacing w:after="120"/>
              <w:rPr>
                <w:color w:val="000000"/>
              </w:rPr>
            </w:pPr>
            <w:r>
              <w:rPr>
                <w:color w:val="000000"/>
              </w:rPr>
              <w:t>Budget</w:t>
            </w:r>
          </w:p>
        </w:tc>
      </w:tr>
      <w:tr w:rsidR="00940EBF" w:rsidTr="007B1AC2">
        <w:trPr>
          <w:trHeight w:val="413"/>
        </w:trPr>
        <w:tc>
          <w:tcPr>
            <w:tcW w:w="8845" w:type="dxa"/>
            <w:gridSpan w:val="3"/>
            <w:tcBorders>
              <w:top w:val="single" w:sz="8" w:space="0" w:color="000000"/>
              <w:left w:val="single" w:sz="8" w:space="0" w:color="000000"/>
              <w:bottom w:val="single" w:sz="4" w:space="0" w:color="auto"/>
              <w:right w:val="single" w:sz="8" w:space="0" w:color="000000"/>
            </w:tcBorders>
            <w:hideMark/>
          </w:tcPr>
          <w:p w:rsidR="00940EBF" w:rsidRDefault="005765CE">
            <w:pPr>
              <w:spacing w:after="120"/>
              <w:rPr>
                <w:color w:val="000000"/>
              </w:rPr>
            </w:pPr>
            <w:r>
              <w:rPr>
                <w:rStyle w:val="Firstpagetablebold"/>
              </w:rPr>
              <w:t>Recommendations</w:t>
            </w:r>
            <w:r w:rsidR="00940EBF">
              <w:rPr>
                <w:rStyle w:val="Firstpagetablebold"/>
              </w:rPr>
              <w:t>:</w:t>
            </w:r>
            <w:r>
              <w:rPr>
                <w:rStyle w:val="Firstpagetablebold"/>
              </w:rPr>
              <w:t xml:space="preserve"> </w:t>
            </w:r>
            <w:r w:rsidR="00940EBF" w:rsidRPr="005765CE">
              <w:rPr>
                <w:rStyle w:val="Firstpagetablebold"/>
                <w:b w:val="0"/>
              </w:rPr>
              <w:t>That the City Executive Board resolves to:</w:t>
            </w:r>
          </w:p>
        </w:tc>
      </w:tr>
      <w:tr w:rsidR="00940EBF" w:rsidTr="007B1AC2">
        <w:trPr>
          <w:trHeight w:val="283"/>
        </w:trPr>
        <w:tc>
          <w:tcPr>
            <w:tcW w:w="426" w:type="dxa"/>
            <w:tcBorders>
              <w:top w:val="single" w:sz="4" w:space="0" w:color="auto"/>
              <w:left w:val="single" w:sz="4" w:space="0" w:color="auto"/>
              <w:bottom w:val="nil"/>
              <w:right w:val="nil"/>
            </w:tcBorders>
          </w:tcPr>
          <w:p w:rsidR="00940EBF" w:rsidRDefault="00940EBF">
            <w:pPr>
              <w:spacing w:after="120"/>
            </w:pPr>
            <w:r>
              <w:t>1</w:t>
            </w:r>
          </w:p>
        </w:tc>
        <w:tc>
          <w:tcPr>
            <w:tcW w:w="8419" w:type="dxa"/>
            <w:gridSpan w:val="2"/>
            <w:tcBorders>
              <w:top w:val="single" w:sz="4" w:space="0" w:color="auto"/>
              <w:left w:val="nil"/>
              <w:bottom w:val="nil"/>
              <w:right w:val="single" w:sz="4" w:space="0" w:color="auto"/>
            </w:tcBorders>
          </w:tcPr>
          <w:p w:rsidR="00940EBF" w:rsidRDefault="007B1AC2" w:rsidP="00940EBF">
            <w:pPr>
              <w:rPr>
                <w:rStyle w:val="Firstpagetablebold"/>
                <w:b w:val="0"/>
              </w:rPr>
            </w:pPr>
            <w:r w:rsidRPr="007B1AC2">
              <w:rPr>
                <w:rStyle w:val="Firstpagetablebold"/>
              </w:rPr>
              <w:t xml:space="preserve">Agree </w:t>
            </w:r>
            <w:r>
              <w:rPr>
                <w:rStyle w:val="Firstpagetablebold"/>
                <w:b w:val="0"/>
              </w:rPr>
              <w:t xml:space="preserve">the amendments to the </w:t>
            </w:r>
            <w:r w:rsidRPr="007B1AC2">
              <w:rPr>
                <w:rStyle w:val="Firstpagetablebold"/>
                <w:b w:val="0"/>
              </w:rPr>
              <w:t>Consultation Budget</w:t>
            </w:r>
            <w:r>
              <w:rPr>
                <w:rStyle w:val="Firstpagetablebold"/>
                <w:b w:val="0"/>
              </w:rPr>
              <w:t>, in light of the outcomes of the public consultation.</w:t>
            </w:r>
          </w:p>
          <w:p w:rsidR="007B1AC2" w:rsidRDefault="007B1AC2" w:rsidP="00940EBF">
            <w:pPr>
              <w:rPr>
                <w:rStyle w:val="Firstpagetablebold"/>
                <w:b w:val="0"/>
              </w:rPr>
            </w:pPr>
          </w:p>
        </w:tc>
      </w:tr>
      <w:tr w:rsidR="00940EBF" w:rsidTr="007B1AC2">
        <w:trPr>
          <w:trHeight w:val="283"/>
        </w:trPr>
        <w:tc>
          <w:tcPr>
            <w:tcW w:w="426" w:type="dxa"/>
            <w:tcBorders>
              <w:top w:val="nil"/>
              <w:left w:val="single" w:sz="4" w:space="0" w:color="auto"/>
              <w:bottom w:val="single" w:sz="4" w:space="0" w:color="auto"/>
              <w:right w:val="nil"/>
            </w:tcBorders>
            <w:hideMark/>
          </w:tcPr>
          <w:p w:rsidR="00940EBF" w:rsidRDefault="007B1AC2">
            <w:pPr>
              <w:spacing w:after="120"/>
              <w:rPr>
                <w:color w:val="000000"/>
              </w:rPr>
            </w:pPr>
            <w:r>
              <w:t>2</w:t>
            </w:r>
            <w:r w:rsidR="00940EBF">
              <w:t>.</w:t>
            </w:r>
          </w:p>
        </w:tc>
        <w:tc>
          <w:tcPr>
            <w:tcW w:w="8419" w:type="dxa"/>
            <w:gridSpan w:val="2"/>
            <w:tcBorders>
              <w:top w:val="nil"/>
              <w:left w:val="nil"/>
              <w:bottom w:val="single" w:sz="4" w:space="0" w:color="auto"/>
              <w:right w:val="single" w:sz="4" w:space="0" w:color="auto"/>
            </w:tcBorders>
            <w:hideMark/>
          </w:tcPr>
          <w:p w:rsidR="00940EBF" w:rsidRPr="00940EBF" w:rsidRDefault="00940EBF" w:rsidP="00940EBF">
            <w:pPr>
              <w:rPr>
                <w:rStyle w:val="Firstpagetablebold"/>
                <w:b w:val="0"/>
              </w:rPr>
            </w:pPr>
            <w:r w:rsidRPr="007B1AC2">
              <w:rPr>
                <w:rStyle w:val="Firstpagetablebold"/>
              </w:rPr>
              <w:t>Recommend that Council</w:t>
            </w:r>
            <w:r>
              <w:rPr>
                <w:rStyle w:val="Firstpagetablebold"/>
                <w:b w:val="0"/>
              </w:rPr>
              <w:t xml:space="preserve"> </w:t>
            </w:r>
            <w:r w:rsidR="007B1AC2">
              <w:rPr>
                <w:rStyle w:val="Firstpagetablebold"/>
                <w:b w:val="0"/>
              </w:rPr>
              <w:t>a</w:t>
            </w:r>
            <w:r w:rsidRPr="00940EBF">
              <w:rPr>
                <w:rStyle w:val="Firstpagetablebold"/>
                <w:b w:val="0"/>
              </w:rPr>
              <w:t>pprove the 2017-18 General Fund and Housing Revenue Account budgets and the General Fund and  Housing Revenue Account Medium Term Financial Plan as set out in  Appendices 1-10, noting:</w:t>
            </w:r>
          </w:p>
          <w:p w:rsidR="00940EBF" w:rsidRPr="00940EBF" w:rsidRDefault="00940EBF" w:rsidP="00940EBF">
            <w:pPr>
              <w:rPr>
                <w:rStyle w:val="Firstpagetablebold"/>
                <w:b w:val="0"/>
              </w:rPr>
            </w:pPr>
            <w:bookmarkStart w:id="0" w:name="_GoBack"/>
            <w:bookmarkEnd w:id="0"/>
          </w:p>
          <w:p w:rsidR="00940EBF" w:rsidRPr="00940EBF" w:rsidRDefault="00940EBF" w:rsidP="00940EBF">
            <w:pPr>
              <w:rPr>
                <w:rStyle w:val="Firstpagetablebold"/>
                <w:b w:val="0"/>
              </w:rPr>
            </w:pPr>
            <w:r>
              <w:rPr>
                <w:rStyle w:val="Firstpagetablebold"/>
                <w:b w:val="0"/>
              </w:rPr>
              <w:t xml:space="preserve">  </w:t>
            </w:r>
            <w:r w:rsidRPr="00940EBF">
              <w:rPr>
                <w:rStyle w:val="Firstpagetablebold"/>
                <w:b w:val="0"/>
              </w:rPr>
              <w:t>a) the Council’s General Fund Budget Requirement of £21.055 million for   2017/18 and an increase in the Band D Council Tax of 1.99% or £5.67 per annum representing a Band D Council Tax of £290.19 per annum</w:t>
            </w:r>
          </w:p>
          <w:p w:rsidR="00940EBF" w:rsidRPr="00940EBF" w:rsidRDefault="00940EBF" w:rsidP="00940EBF">
            <w:pPr>
              <w:rPr>
                <w:rStyle w:val="Firstpagetablebold"/>
                <w:b w:val="0"/>
              </w:rPr>
            </w:pPr>
          </w:p>
          <w:p w:rsidR="00940EBF" w:rsidRPr="00940EBF" w:rsidRDefault="00940EBF" w:rsidP="00940EBF">
            <w:pPr>
              <w:rPr>
                <w:rStyle w:val="Firstpagetablebold"/>
                <w:b w:val="0"/>
              </w:rPr>
            </w:pPr>
            <w:r>
              <w:rPr>
                <w:rStyle w:val="Firstpagetablebold"/>
                <w:b w:val="0"/>
              </w:rPr>
              <w:t xml:space="preserve"> </w:t>
            </w:r>
            <w:r w:rsidRPr="00940EBF">
              <w:rPr>
                <w:rStyle w:val="Firstpagetablebold"/>
                <w:b w:val="0"/>
              </w:rPr>
              <w:t>b) the Housing Revenue Account budget for 2017/18 of £44.285 million and a reduction of 1% (£1.06/</w:t>
            </w:r>
            <w:proofErr w:type="spellStart"/>
            <w:r w:rsidRPr="00940EBF">
              <w:rPr>
                <w:rStyle w:val="Firstpagetablebold"/>
                <w:b w:val="0"/>
              </w:rPr>
              <w:t>wk</w:t>
            </w:r>
            <w:proofErr w:type="spellEnd"/>
            <w:r w:rsidRPr="00940EBF">
              <w:rPr>
                <w:rStyle w:val="Firstpagetablebold"/>
                <w:b w:val="0"/>
              </w:rPr>
              <w:t>) in social dwelling rents from April 2017 giving a revised weekly average social rent of £105.65 as set out in Appendix 4</w:t>
            </w:r>
          </w:p>
          <w:p w:rsidR="00940EBF" w:rsidRDefault="00940EBF" w:rsidP="00940EBF">
            <w:pPr>
              <w:rPr>
                <w:rStyle w:val="Firstpagetablebold"/>
                <w:b w:val="0"/>
              </w:rPr>
            </w:pPr>
          </w:p>
          <w:p w:rsidR="00940EBF" w:rsidRDefault="00940EBF" w:rsidP="00940EBF">
            <w:pPr>
              <w:rPr>
                <w:rStyle w:val="Firstpagetablebold"/>
                <w:b w:val="0"/>
              </w:rPr>
            </w:pPr>
            <w:r w:rsidRPr="00940EBF">
              <w:rPr>
                <w:rStyle w:val="Firstpagetablebold"/>
                <w:b w:val="0"/>
              </w:rPr>
              <w:t xml:space="preserve">c)  </w:t>
            </w:r>
            <w:proofErr w:type="gramStart"/>
            <w:r w:rsidRPr="00940EBF">
              <w:rPr>
                <w:rStyle w:val="Firstpagetablebold"/>
                <w:b w:val="0"/>
              </w:rPr>
              <w:t>the</w:t>
            </w:r>
            <w:proofErr w:type="gramEnd"/>
            <w:r w:rsidRPr="00940EBF">
              <w:rPr>
                <w:rStyle w:val="Firstpagetablebold"/>
                <w:b w:val="0"/>
              </w:rPr>
              <w:t xml:space="preserve"> General Fund and Housing Revenue Account Capital Programme as shown in Appendix 6.</w:t>
            </w:r>
          </w:p>
          <w:p w:rsidR="00940EBF" w:rsidRDefault="00940EBF" w:rsidP="00940EBF">
            <w:pPr>
              <w:rPr>
                <w:color w:val="000000"/>
              </w:rPr>
            </w:pPr>
          </w:p>
        </w:tc>
      </w:tr>
      <w:tr w:rsidR="00940EBF" w:rsidTr="007B1AC2">
        <w:trPr>
          <w:trHeight w:val="283"/>
        </w:trPr>
        <w:tc>
          <w:tcPr>
            <w:tcW w:w="426" w:type="dxa"/>
            <w:tcBorders>
              <w:top w:val="single" w:sz="4" w:space="0" w:color="auto"/>
              <w:left w:val="single" w:sz="8" w:space="0" w:color="000000"/>
              <w:bottom w:val="nil"/>
              <w:right w:val="nil"/>
            </w:tcBorders>
            <w:hideMark/>
          </w:tcPr>
          <w:p w:rsidR="00940EBF" w:rsidRDefault="007B1AC2">
            <w:pPr>
              <w:spacing w:after="120"/>
              <w:rPr>
                <w:color w:val="000000"/>
              </w:rPr>
            </w:pPr>
            <w:r>
              <w:lastRenderedPageBreak/>
              <w:t>3</w:t>
            </w:r>
            <w:r w:rsidR="00940EBF">
              <w:t>.</w:t>
            </w:r>
          </w:p>
        </w:tc>
        <w:tc>
          <w:tcPr>
            <w:tcW w:w="8419" w:type="dxa"/>
            <w:gridSpan w:val="2"/>
            <w:tcBorders>
              <w:top w:val="single" w:sz="4" w:space="0" w:color="auto"/>
              <w:left w:val="nil"/>
              <w:bottom w:val="nil"/>
              <w:right w:val="single" w:sz="8" w:space="0" w:color="000000"/>
            </w:tcBorders>
            <w:hideMark/>
          </w:tcPr>
          <w:p w:rsidR="00940EBF" w:rsidRDefault="00940EBF">
            <w:pPr>
              <w:spacing w:after="120"/>
              <w:rPr>
                <w:color w:val="000000"/>
              </w:rPr>
            </w:pPr>
            <w:r w:rsidRPr="007B1AC2">
              <w:rPr>
                <w:rFonts w:cs="Arial"/>
                <w:b/>
              </w:rPr>
              <w:t xml:space="preserve">Recommend that Council </w:t>
            </w:r>
            <w:r>
              <w:rPr>
                <w:rFonts w:cs="Arial"/>
              </w:rPr>
              <w:t>agree not to implement the voluntary ‘Pay to Stay’ policy for Council house tenants (para 28 refers)</w:t>
            </w:r>
          </w:p>
        </w:tc>
      </w:tr>
      <w:tr w:rsidR="00940EBF" w:rsidTr="00940EBF">
        <w:trPr>
          <w:trHeight w:val="283"/>
        </w:trPr>
        <w:tc>
          <w:tcPr>
            <w:tcW w:w="426" w:type="dxa"/>
            <w:tcBorders>
              <w:top w:val="nil"/>
              <w:left w:val="single" w:sz="8" w:space="0" w:color="000000"/>
              <w:bottom w:val="nil"/>
              <w:right w:val="nil"/>
            </w:tcBorders>
            <w:hideMark/>
          </w:tcPr>
          <w:p w:rsidR="00940EBF" w:rsidRDefault="007B1AC2">
            <w:pPr>
              <w:spacing w:after="120"/>
              <w:rPr>
                <w:color w:val="000000"/>
              </w:rPr>
            </w:pPr>
            <w:r>
              <w:t>4</w:t>
            </w:r>
            <w:r w:rsidR="00940EBF">
              <w:t>.</w:t>
            </w:r>
          </w:p>
        </w:tc>
        <w:tc>
          <w:tcPr>
            <w:tcW w:w="8419" w:type="dxa"/>
            <w:gridSpan w:val="2"/>
            <w:tcBorders>
              <w:top w:val="nil"/>
              <w:left w:val="nil"/>
              <w:bottom w:val="nil"/>
              <w:right w:val="single" w:sz="8" w:space="0" w:color="000000"/>
            </w:tcBorders>
            <w:hideMark/>
          </w:tcPr>
          <w:p w:rsidR="00940EBF" w:rsidRDefault="00940EBF" w:rsidP="00940EBF">
            <w:pPr>
              <w:spacing w:after="120"/>
              <w:rPr>
                <w:color w:val="000000"/>
              </w:rPr>
            </w:pPr>
            <w:r w:rsidRPr="007B1AC2">
              <w:rPr>
                <w:b/>
              </w:rPr>
              <w:t>Recommend that Council</w:t>
            </w:r>
            <w:r>
              <w:t xml:space="preserve"> a</w:t>
            </w:r>
            <w:r w:rsidRPr="00940EBF">
              <w:t>gree the fees and charges shown in Appendix 7</w:t>
            </w:r>
          </w:p>
        </w:tc>
      </w:tr>
      <w:tr w:rsidR="00940EBF" w:rsidTr="00940EBF">
        <w:trPr>
          <w:trHeight w:val="283"/>
        </w:trPr>
        <w:tc>
          <w:tcPr>
            <w:tcW w:w="426" w:type="dxa"/>
            <w:tcBorders>
              <w:top w:val="nil"/>
              <w:left w:val="single" w:sz="8" w:space="0" w:color="000000"/>
              <w:bottom w:val="nil"/>
              <w:right w:val="nil"/>
            </w:tcBorders>
            <w:hideMark/>
          </w:tcPr>
          <w:p w:rsidR="00940EBF" w:rsidRDefault="007B1AC2">
            <w:pPr>
              <w:spacing w:after="120"/>
              <w:rPr>
                <w:color w:val="000000"/>
              </w:rPr>
            </w:pPr>
            <w:r>
              <w:t>5</w:t>
            </w:r>
            <w:r w:rsidR="00940EBF">
              <w:t>.</w:t>
            </w:r>
          </w:p>
        </w:tc>
        <w:tc>
          <w:tcPr>
            <w:tcW w:w="8419" w:type="dxa"/>
            <w:gridSpan w:val="2"/>
            <w:tcBorders>
              <w:top w:val="nil"/>
              <w:left w:val="nil"/>
              <w:bottom w:val="nil"/>
              <w:right w:val="single" w:sz="8" w:space="0" w:color="000000"/>
            </w:tcBorders>
            <w:hideMark/>
          </w:tcPr>
          <w:p w:rsidR="00940EBF" w:rsidRPr="00940EBF" w:rsidRDefault="00940EBF" w:rsidP="00940EBF">
            <w:pPr>
              <w:spacing w:after="120"/>
              <w:rPr>
                <w:rFonts w:cs="Arial"/>
              </w:rPr>
            </w:pPr>
            <w:r w:rsidRPr="007B1AC2">
              <w:rPr>
                <w:rStyle w:val="Firstpagetablebold"/>
              </w:rPr>
              <w:t xml:space="preserve">Recommend that Council </w:t>
            </w:r>
            <w:r>
              <w:rPr>
                <w:rStyle w:val="Firstpagetablebold"/>
                <w:b w:val="0"/>
              </w:rPr>
              <w:t>d</w:t>
            </w:r>
            <w:r w:rsidRPr="00940EBF">
              <w:rPr>
                <w:rStyle w:val="Firstpagetablebold"/>
                <w:b w:val="0"/>
              </w:rPr>
              <w:t>elegate</w:t>
            </w:r>
            <w:r>
              <w:rPr>
                <w:rStyle w:val="Firstpagetablebold"/>
                <w:b w:val="0"/>
              </w:rPr>
              <w:t xml:space="preserve"> authority</w:t>
            </w:r>
            <w:r w:rsidRPr="00940EBF">
              <w:rPr>
                <w:rStyle w:val="Firstpagetablebold"/>
                <w:b w:val="0"/>
              </w:rPr>
              <w:t xml:space="preserve"> to the Section 151 Officer in consultation with the Board Member for</w:t>
            </w:r>
            <w:r>
              <w:rPr>
                <w:rStyle w:val="Firstpagetablebold"/>
                <w:b w:val="0"/>
              </w:rPr>
              <w:t xml:space="preserve"> </w:t>
            </w:r>
            <w:r w:rsidRPr="00940EBF">
              <w:rPr>
                <w:rStyle w:val="Firstpagetablebold"/>
                <w:b w:val="0"/>
              </w:rPr>
              <w:t>Finance and Assets the decision to determine whether it is financially advantageous for the Council to enter into a Business Rates Distribution Agreement as referred to in paragraphs 16-17 below.</w:t>
            </w:r>
          </w:p>
        </w:tc>
      </w:tr>
      <w:tr w:rsidR="00940EBF" w:rsidTr="00940EBF">
        <w:trPr>
          <w:trHeight w:val="283"/>
        </w:trPr>
        <w:tc>
          <w:tcPr>
            <w:tcW w:w="426" w:type="dxa"/>
            <w:tcBorders>
              <w:top w:val="nil"/>
              <w:left w:val="single" w:sz="8" w:space="0" w:color="000000"/>
              <w:bottom w:val="nil"/>
              <w:right w:val="nil"/>
            </w:tcBorders>
            <w:hideMark/>
          </w:tcPr>
          <w:p w:rsidR="00940EBF" w:rsidRDefault="007B1AC2">
            <w:pPr>
              <w:spacing w:after="120"/>
              <w:rPr>
                <w:color w:val="000000"/>
              </w:rPr>
            </w:pPr>
            <w:r>
              <w:t>6</w:t>
            </w:r>
            <w:r w:rsidR="00940EBF">
              <w:t>.</w:t>
            </w:r>
          </w:p>
        </w:tc>
        <w:tc>
          <w:tcPr>
            <w:tcW w:w="8419" w:type="dxa"/>
            <w:gridSpan w:val="2"/>
            <w:tcBorders>
              <w:top w:val="nil"/>
              <w:left w:val="nil"/>
              <w:bottom w:val="nil"/>
              <w:right w:val="single" w:sz="8" w:space="0" w:color="000000"/>
            </w:tcBorders>
            <w:hideMark/>
          </w:tcPr>
          <w:p w:rsidR="00940EBF" w:rsidRPr="00940EBF" w:rsidRDefault="00940EBF">
            <w:pPr>
              <w:spacing w:after="120"/>
              <w:rPr>
                <w:b/>
                <w:color w:val="000000"/>
              </w:rPr>
            </w:pPr>
            <w:r w:rsidRPr="007B1AC2">
              <w:rPr>
                <w:rStyle w:val="Firstpagetablebold"/>
              </w:rPr>
              <w:t xml:space="preserve">Recommend that Council </w:t>
            </w:r>
            <w:r>
              <w:rPr>
                <w:rStyle w:val="Firstpagetablebold"/>
                <w:b w:val="0"/>
              </w:rPr>
              <w:t>a</w:t>
            </w:r>
            <w:r w:rsidRPr="00940EBF">
              <w:rPr>
                <w:rStyle w:val="Firstpagetablebold"/>
                <w:b w:val="0"/>
              </w:rPr>
              <w:t xml:space="preserve">gree an additional loan of up to £75k for working capital to </w:t>
            </w:r>
            <w:proofErr w:type="spellStart"/>
            <w:r w:rsidRPr="00940EBF">
              <w:rPr>
                <w:rStyle w:val="Firstpagetablebold"/>
                <w:b w:val="0"/>
              </w:rPr>
              <w:t>Oxwed</w:t>
            </w:r>
            <w:proofErr w:type="spellEnd"/>
            <w:r w:rsidRPr="00940EBF">
              <w:rPr>
                <w:rStyle w:val="Firstpagetablebold"/>
                <w:b w:val="0"/>
              </w:rPr>
              <w:t xml:space="preserve"> as highlighted in paragraph 41</w:t>
            </w:r>
          </w:p>
        </w:tc>
      </w:tr>
      <w:tr w:rsidR="00940EBF" w:rsidTr="00940EBF">
        <w:trPr>
          <w:trHeight w:val="283"/>
        </w:trPr>
        <w:tc>
          <w:tcPr>
            <w:tcW w:w="426" w:type="dxa"/>
            <w:tcBorders>
              <w:top w:val="nil"/>
              <w:left w:val="single" w:sz="8" w:space="0" w:color="000000"/>
              <w:bottom w:val="single" w:sz="8" w:space="0" w:color="000000"/>
              <w:right w:val="nil"/>
            </w:tcBorders>
          </w:tcPr>
          <w:p w:rsidR="00940EBF" w:rsidRDefault="007B1AC2">
            <w:pPr>
              <w:spacing w:after="120"/>
            </w:pPr>
            <w:r>
              <w:t>7</w:t>
            </w:r>
          </w:p>
        </w:tc>
        <w:tc>
          <w:tcPr>
            <w:tcW w:w="8419" w:type="dxa"/>
            <w:gridSpan w:val="2"/>
            <w:tcBorders>
              <w:top w:val="nil"/>
              <w:left w:val="nil"/>
              <w:bottom w:val="single" w:sz="8" w:space="0" w:color="000000"/>
              <w:right w:val="single" w:sz="8" w:space="0" w:color="000000"/>
            </w:tcBorders>
          </w:tcPr>
          <w:p w:rsidR="00940EBF" w:rsidRPr="00940EBF" w:rsidRDefault="00940EBF">
            <w:pPr>
              <w:spacing w:after="120"/>
              <w:rPr>
                <w:rStyle w:val="Firstpagetablebold"/>
                <w:b w:val="0"/>
              </w:rPr>
            </w:pPr>
            <w:r w:rsidRPr="007B1AC2">
              <w:rPr>
                <w:rStyle w:val="Firstpagetablebold"/>
              </w:rPr>
              <w:t>Recommend that Council</w:t>
            </w:r>
            <w:r>
              <w:rPr>
                <w:rStyle w:val="Firstpagetablebold"/>
                <w:b w:val="0"/>
              </w:rPr>
              <w:t xml:space="preserve"> a</w:t>
            </w:r>
            <w:r w:rsidRPr="00940EBF">
              <w:rPr>
                <w:rStyle w:val="Firstpagetablebold"/>
                <w:b w:val="0"/>
              </w:rPr>
              <w:t>gree provision of a loan facility to Oxford City Housing Ltd of up to £61 million (paras 39-40) an extra £48.75 million over the next four years, subject to the provision of; and agreement to a business plan by the Company.</w:t>
            </w:r>
          </w:p>
        </w:tc>
      </w:tr>
    </w:tbl>
    <w:p w:rsidR="00940EBF" w:rsidRDefault="00940EBF" w:rsidP="00940EBF">
      <w:pPr>
        <w:rPr>
          <w:color w:val="000000"/>
        </w:rPr>
      </w:pPr>
    </w:p>
    <w:p w:rsidR="005765CE" w:rsidRDefault="005765CE" w:rsidP="00940EBF">
      <w:pPr>
        <w:rPr>
          <w:color w:val="000000"/>
        </w:rPr>
      </w:pPr>
    </w:p>
    <w:p w:rsidR="005765CE" w:rsidRDefault="005765CE" w:rsidP="00940EBF">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40EBF" w:rsidTr="00940EBF">
        <w:tc>
          <w:tcPr>
            <w:tcW w:w="8844" w:type="dxa"/>
            <w:gridSpan w:val="2"/>
            <w:tcBorders>
              <w:top w:val="single" w:sz="8" w:space="0" w:color="000000"/>
              <w:left w:val="single" w:sz="8" w:space="0" w:color="000000"/>
              <w:bottom w:val="single" w:sz="8" w:space="0" w:color="000000"/>
              <w:right w:val="single" w:sz="8" w:space="0" w:color="000000"/>
            </w:tcBorders>
            <w:hideMark/>
          </w:tcPr>
          <w:p w:rsidR="00940EBF" w:rsidRDefault="00940EBF">
            <w:pPr>
              <w:spacing w:after="120"/>
              <w:jc w:val="center"/>
              <w:rPr>
                <w:color w:val="000000"/>
              </w:rPr>
            </w:pPr>
            <w:r>
              <w:rPr>
                <w:rStyle w:val="Firstpagetablebold"/>
              </w:rPr>
              <w:t>Appendices</w:t>
            </w:r>
          </w:p>
        </w:tc>
      </w:tr>
      <w:tr w:rsidR="00940EBF" w:rsidTr="00940EBF">
        <w:tc>
          <w:tcPr>
            <w:tcW w:w="2438" w:type="dxa"/>
            <w:tcBorders>
              <w:top w:val="single" w:sz="8" w:space="0" w:color="000000"/>
              <w:left w:val="single" w:sz="8" w:space="0" w:color="000000"/>
              <w:bottom w:val="nil"/>
              <w:right w:val="nil"/>
            </w:tcBorders>
            <w:hideMark/>
          </w:tcPr>
          <w:p w:rsidR="00940EBF" w:rsidRDefault="00940EBF">
            <w:pPr>
              <w:spacing w:after="120"/>
              <w:rPr>
                <w:color w:val="000000"/>
              </w:rPr>
            </w:pPr>
            <w:r>
              <w:t>Appendix 1</w:t>
            </w:r>
          </w:p>
        </w:tc>
        <w:tc>
          <w:tcPr>
            <w:tcW w:w="6406" w:type="dxa"/>
            <w:tcBorders>
              <w:top w:val="single" w:sz="8" w:space="0" w:color="000000"/>
              <w:left w:val="nil"/>
              <w:bottom w:val="nil"/>
              <w:right w:val="single" w:sz="8" w:space="0" w:color="000000"/>
            </w:tcBorders>
            <w:hideMark/>
          </w:tcPr>
          <w:p w:rsidR="00940EBF" w:rsidRDefault="007B1AC2">
            <w:pPr>
              <w:spacing w:after="120"/>
              <w:rPr>
                <w:color w:val="000000"/>
              </w:rPr>
            </w:pPr>
            <w:r w:rsidRPr="007B1AC2">
              <w:t>Summary of General Fund Budget by Service 2017-18 to 2020-21</w:t>
            </w:r>
          </w:p>
        </w:tc>
      </w:tr>
      <w:tr w:rsidR="00940EBF" w:rsidTr="00940EBF">
        <w:tc>
          <w:tcPr>
            <w:tcW w:w="2438" w:type="dxa"/>
            <w:tcBorders>
              <w:top w:val="nil"/>
              <w:left w:val="single" w:sz="8" w:space="0" w:color="000000"/>
              <w:bottom w:val="nil"/>
              <w:right w:val="nil"/>
            </w:tcBorders>
            <w:hideMark/>
          </w:tcPr>
          <w:p w:rsidR="00940EBF" w:rsidRDefault="00940EBF">
            <w:pPr>
              <w:spacing w:after="120"/>
              <w:rPr>
                <w:color w:val="000000"/>
              </w:rPr>
            </w:pPr>
            <w:r>
              <w:t>Appendix 2</w:t>
            </w:r>
          </w:p>
        </w:tc>
        <w:tc>
          <w:tcPr>
            <w:tcW w:w="6406" w:type="dxa"/>
            <w:tcBorders>
              <w:top w:val="nil"/>
              <w:left w:val="nil"/>
              <w:bottom w:val="nil"/>
              <w:right w:val="single" w:sz="8" w:space="0" w:color="000000"/>
            </w:tcBorders>
            <w:hideMark/>
          </w:tcPr>
          <w:p w:rsidR="00940EBF" w:rsidRPr="007B1AC2" w:rsidRDefault="007B1AC2" w:rsidP="007B1AC2">
            <w:pPr>
              <w:tabs>
                <w:tab w:val="left" w:pos="6"/>
              </w:tabs>
              <w:ind w:left="6" w:right="386"/>
              <w:jc w:val="both"/>
            </w:pPr>
            <w:r w:rsidRPr="0097022F">
              <w:t xml:space="preserve">General Fund Revenue Budget </w:t>
            </w:r>
            <w:r>
              <w:t>by Service</w:t>
            </w:r>
            <w:r w:rsidRPr="0097022F">
              <w:t xml:space="preserve"> 201</w:t>
            </w:r>
            <w:r>
              <w:t>7</w:t>
            </w:r>
            <w:r w:rsidRPr="0097022F">
              <w:t>-</w:t>
            </w:r>
            <w:r>
              <w:t xml:space="preserve">18 to </w:t>
            </w:r>
            <w:r w:rsidRPr="0097022F">
              <w:t>20</w:t>
            </w:r>
            <w:r>
              <w:t>20</w:t>
            </w:r>
            <w:r w:rsidRPr="0097022F">
              <w:t>-</w:t>
            </w:r>
            <w:r>
              <w:t>21</w:t>
            </w:r>
          </w:p>
        </w:tc>
      </w:tr>
      <w:tr w:rsidR="00940EBF" w:rsidTr="00940EBF">
        <w:tc>
          <w:tcPr>
            <w:tcW w:w="2438" w:type="dxa"/>
            <w:tcBorders>
              <w:top w:val="nil"/>
              <w:left w:val="single" w:sz="8" w:space="0" w:color="000000"/>
              <w:bottom w:val="nil"/>
              <w:right w:val="nil"/>
            </w:tcBorders>
            <w:hideMark/>
          </w:tcPr>
          <w:p w:rsidR="00940EBF" w:rsidRDefault="00940EBF">
            <w:pPr>
              <w:spacing w:after="120"/>
              <w:rPr>
                <w:color w:val="000000"/>
              </w:rPr>
            </w:pPr>
            <w:r>
              <w:t>Appendix 3</w:t>
            </w:r>
          </w:p>
        </w:tc>
        <w:tc>
          <w:tcPr>
            <w:tcW w:w="6406" w:type="dxa"/>
            <w:tcBorders>
              <w:top w:val="nil"/>
              <w:left w:val="nil"/>
              <w:bottom w:val="nil"/>
              <w:right w:val="single" w:sz="8" w:space="0" w:color="000000"/>
            </w:tcBorders>
            <w:hideMark/>
          </w:tcPr>
          <w:p w:rsidR="00940EBF" w:rsidRDefault="007B1AC2">
            <w:pPr>
              <w:spacing w:after="120"/>
              <w:rPr>
                <w:color w:val="000000"/>
              </w:rPr>
            </w:pPr>
            <w:r w:rsidRPr="007B1AC2">
              <w:t>Detailed General Fund Service Budgets Bids and Savings Proposals    2017-18 to 2020-21</w:t>
            </w:r>
          </w:p>
        </w:tc>
      </w:tr>
      <w:tr w:rsidR="00940EBF" w:rsidTr="007B1AC2">
        <w:tc>
          <w:tcPr>
            <w:tcW w:w="2438" w:type="dxa"/>
            <w:tcBorders>
              <w:top w:val="nil"/>
              <w:left w:val="single" w:sz="8" w:space="0" w:color="000000"/>
              <w:bottom w:val="nil"/>
              <w:right w:val="nil"/>
            </w:tcBorders>
            <w:hideMark/>
          </w:tcPr>
          <w:p w:rsidR="00940EBF" w:rsidRDefault="00940EBF">
            <w:pPr>
              <w:spacing w:after="120"/>
              <w:rPr>
                <w:color w:val="000000"/>
              </w:rPr>
            </w:pPr>
            <w:r>
              <w:t>Appendix 4</w:t>
            </w:r>
          </w:p>
        </w:tc>
        <w:tc>
          <w:tcPr>
            <w:tcW w:w="6406" w:type="dxa"/>
            <w:tcBorders>
              <w:top w:val="nil"/>
              <w:left w:val="nil"/>
              <w:bottom w:val="nil"/>
              <w:right w:val="single" w:sz="8" w:space="0" w:color="000000"/>
            </w:tcBorders>
            <w:hideMark/>
          </w:tcPr>
          <w:p w:rsidR="00940EBF" w:rsidRDefault="007B1AC2">
            <w:pPr>
              <w:spacing w:after="120"/>
              <w:rPr>
                <w:color w:val="000000"/>
              </w:rPr>
            </w:pPr>
            <w:r w:rsidRPr="007B1AC2">
              <w:t>Housing Revenue Account Budget 2017-18 to 2020-21</w:t>
            </w:r>
          </w:p>
        </w:tc>
      </w:tr>
      <w:tr w:rsidR="007B1AC2" w:rsidTr="007B1AC2">
        <w:tc>
          <w:tcPr>
            <w:tcW w:w="2438" w:type="dxa"/>
            <w:tcBorders>
              <w:top w:val="nil"/>
              <w:left w:val="single" w:sz="8" w:space="0" w:color="000000"/>
              <w:bottom w:val="nil"/>
              <w:right w:val="nil"/>
            </w:tcBorders>
          </w:tcPr>
          <w:p w:rsidR="007B1AC2" w:rsidRDefault="007B1AC2">
            <w:pPr>
              <w:spacing w:after="120"/>
            </w:pPr>
            <w:r>
              <w:t>Appendix 5</w:t>
            </w:r>
          </w:p>
        </w:tc>
        <w:tc>
          <w:tcPr>
            <w:tcW w:w="6406" w:type="dxa"/>
            <w:tcBorders>
              <w:top w:val="nil"/>
              <w:left w:val="nil"/>
              <w:bottom w:val="nil"/>
              <w:right w:val="single" w:sz="8" w:space="0" w:color="000000"/>
            </w:tcBorders>
          </w:tcPr>
          <w:p w:rsidR="007B1AC2" w:rsidRPr="007B1AC2" w:rsidRDefault="007B1AC2">
            <w:pPr>
              <w:spacing w:after="120"/>
            </w:pPr>
            <w:r w:rsidRPr="007B1AC2">
              <w:t>Housing Revenue Account Rent by property type</w:t>
            </w:r>
          </w:p>
        </w:tc>
      </w:tr>
      <w:tr w:rsidR="007B1AC2" w:rsidTr="007B1AC2">
        <w:tc>
          <w:tcPr>
            <w:tcW w:w="2438" w:type="dxa"/>
            <w:tcBorders>
              <w:top w:val="nil"/>
              <w:left w:val="single" w:sz="8" w:space="0" w:color="000000"/>
              <w:bottom w:val="nil"/>
              <w:right w:val="nil"/>
            </w:tcBorders>
          </w:tcPr>
          <w:p w:rsidR="007B1AC2" w:rsidRDefault="007B1AC2">
            <w:pPr>
              <w:spacing w:after="120"/>
            </w:pPr>
            <w:r>
              <w:t>Appendix 6</w:t>
            </w:r>
          </w:p>
        </w:tc>
        <w:tc>
          <w:tcPr>
            <w:tcW w:w="6406" w:type="dxa"/>
            <w:tcBorders>
              <w:top w:val="nil"/>
              <w:left w:val="nil"/>
              <w:bottom w:val="nil"/>
              <w:right w:val="single" w:sz="8" w:space="0" w:color="000000"/>
            </w:tcBorders>
          </w:tcPr>
          <w:p w:rsidR="007B1AC2" w:rsidRPr="007B1AC2" w:rsidRDefault="007B1AC2">
            <w:pPr>
              <w:spacing w:after="120"/>
            </w:pPr>
            <w:r w:rsidRPr="007B1AC2">
              <w:t>General Fund and HRA Capital Programme 2017-18 to 2020-21</w:t>
            </w:r>
          </w:p>
        </w:tc>
      </w:tr>
      <w:tr w:rsidR="007B1AC2" w:rsidTr="007B1AC2">
        <w:tc>
          <w:tcPr>
            <w:tcW w:w="2438" w:type="dxa"/>
            <w:tcBorders>
              <w:top w:val="nil"/>
              <w:left w:val="single" w:sz="8" w:space="0" w:color="000000"/>
              <w:bottom w:val="nil"/>
              <w:right w:val="nil"/>
            </w:tcBorders>
          </w:tcPr>
          <w:p w:rsidR="007B1AC2" w:rsidRDefault="007B1AC2">
            <w:pPr>
              <w:spacing w:after="120"/>
            </w:pPr>
            <w:r>
              <w:t>Appendix 7</w:t>
            </w:r>
          </w:p>
        </w:tc>
        <w:tc>
          <w:tcPr>
            <w:tcW w:w="6406" w:type="dxa"/>
            <w:tcBorders>
              <w:top w:val="nil"/>
              <w:left w:val="nil"/>
              <w:bottom w:val="nil"/>
              <w:right w:val="single" w:sz="8" w:space="0" w:color="000000"/>
            </w:tcBorders>
          </w:tcPr>
          <w:p w:rsidR="007B1AC2" w:rsidRPr="007B1AC2" w:rsidRDefault="007B1AC2">
            <w:pPr>
              <w:spacing w:after="120"/>
            </w:pPr>
            <w:r w:rsidRPr="007B1AC2">
              <w:t>Fees and Charges</w:t>
            </w:r>
          </w:p>
        </w:tc>
      </w:tr>
      <w:tr w:rsidR="007B1AC2" w:rsidTr="007B1AC2">
        <w:tc>
          <w:tcPr>
            <w:tcW w:w="2438" w:type="dxa"/>
            <w:tcBorders>
              <w:top w:val="nil"/>
              <w:left w:val="single" w:sz="8" w:space="0" w:color="000000"/>
              <w:bottom w:val="nil"/>
              <w:right w:val="nil"/>
            </w:tcBorders>
          </w:tcPr>
          <w:p w:rsidR="007B1AC2" w:rsidRDefault="007B1AC2">
            <w:pPr>
              <w:spacing w:after="120"/>
            </w:pPr>
            <w:r>
              <w:t>Appendix 8</w:t>
            </w:r>
          </w:p>
        </w:tc>
        <w:tc>
          <w:tcPr>
            <w:tcW w:w="6406" w:type="dxa"/>
            <w:tcBorders>
              <w:top w:val="nil"/>
              <w:left w:val="nil"/>
              <w:bottom w:val="nil"/>
              <w:right w:val="single" w:sz="8" w:space="0" w:color="000000"/>
            </w:tcBorders>
          </w:tcPr>
          <w:p w:rsidR="007B1AC2" w:rsidRPr="007B1AC2" w:rsidRDefault="007B1AC2">
            <w:pPr>
              <w:spacing w:after="120"/>
            </w:pPr>
            <w:r w:rsidRPr="007B1AC2">
              <w:t>Risk Register</w:t>
            </w:r>
          </w:p>
        </w:tc>
      </w:tr>
      <w:tr w:rsidR="007B1AC2" w:rsidTr="007B1AC2">
        <w:tc>
          <w:tcPr>
            <w:tcW w:w="2438" w:type="dxa"/>
            <w:tcBorders>
              <w:top w:val="nil"/>
              <w:left w:val="single" w:sz="8" w:space="0" w:color="000000"/>
              <w:bottom w:val="nil"/>
              <w:right w:val="nil"/>
            </w:tcBorders>
          </w:tcPr>
          <w:p w:rsidR="007B1AC2" w:rsidRDefault="007B1AC2">
            <w:pPr>
              <w:spacing w:after="120"/>
            </w:pPr>
            <w:r>
              <w:t>Appendix 9</w:t>
            </w:r>
          </w:p>
        </w:tc>
        <w:tc>
          <w:tcPr>
            <w:tcW w:w="6406" w:type="dxa"/>
            <w:tcBorders>
              <w:top w:val="nil"/>
              <w:left w:val="nil"/>
              <w:bottom w:val="nil"/>
              <w:right w:val="single" w:sz="8" w:space="0" w:color="000000"/>
            </w:tcBorders>
          </w:tcPr>
          <w:p w:rsidR="007B1AC2" w:rsidRPr="007B1AC2" w:rsidRDefault="007B1AC2">
            <w:pPr>
              <w:spacing w:after="120"/>
            </w:pPr>
            <w:r w:rsidRPr="007B1AC2">
              <w:t>Equalities Impact Assessment</w:t>
            </w:r>
          </w:p>
        </w:tc>
      </w:tr>
      <w:tr w:rsidR="007B1AC2" w:rsidTr="00940EBF">
        <w:tc>
          <w:tcPr>
            <w:tcW w:w="2438" w:type="dxa"/>
            <w:tcBorders>
              <w:top w:val="nil"/>
              <w:left w:val="single" w:sz="8" w:space="0" w:color="000000"/>
              <w:bottom w:val="single" w:sz="8" w:space="0" w:color="000000"/>
              <w:right w:val="nil"/>
            </w:tcBorders>
          </w:tcPr>
          <w:p w:rsidR="007B1AC2" w:rsidRDefault="007B1AC2">
            <w:pPr>
              <w:spacing w:after="120"/>
            </w:pPr>
            <w:r>
              <w:t>Appendix 10</w:t>
            </w:r>
          </w:p>
        </w:tc>
        <w:tc>
          <w:tcPr>
            <w:tcW w:w="6406" w:type="dxa"/>
            <w:tcBorders>
              <w:top w:val="nil"/>
              <w:left w:val="nil"/>
              <w:bottom w:val="single" w:sz="8" w:space="0" w:color="000000"/>
              <w:right w:val="single" w:sz="8" w:space="0" w:color="000000"/>
            </w:tcBorders>
          </w:tcPr>
          <w:p w:rsidR="007B1AC2" w:rsidRPr="007B1AC2" w:rsidRDefault="007B1AC2">
            <w:pPr>
              <w:spacing w:after="120"/>
            </w:pPr>
            <w:r w:rsidRPr="007B1AC2">
              <w:t>Budget Consultation</w:t>
            </w:r>
          </w:p>
        </w:tc>
      </w:tr>
    </w:tbl>
    <w:p w:rsidR="00D86CE1" w:rsidRDefault="00D86CE1" w:rsidP="007A3B37">
      <w:pPr>
        <w:ind w:right="386" w:firstLine="720"/>
        <w:jc w:val="both"/>
        <w:rPr>
          <w:b/>
        </w:rPr>
      </w:pPr>
    </w:p>
    <w:p w:rsidR="00D760C5" w:rsidRDefault="00D760C5" w:rsidP="007B1AC2">
      <w:pPr>
        <w:tabs>
          <w:tab w:val="left" w:pos="567"/>
        </w:tabs>
        <w:ind w:right="386"/>
        <w:jc w:val="both"/>
      </w:pPr>
    </w:p>
    <w:p w:rsidR="005765CE" w:rsidRDefault="005765CE" w:rsidP="00687C99">
      <w:pPr>
        <w:pStyle w:val="Heading1"/>
      </w:pPr>
      <w:r>
        <w:br w:type="page"/>
      </w:r>
    </w:p>
    <w:p w:rsidR="00CF0A21" w:rsidRPr="00143CAE" w:rsidRDefault="00CF0A21" w:rsidP="00687C99">
      <w:pPr>
        <w:pStyle w:val="Heading1"/>
      </w:pPr>
      <w:r w:rsidRPr="00143CAE">
        <w:lastRenderedPageBreak/>
        <w:t xml:space="preserve">Comment from </w:t>
      </w:r>
      <w:r w:rsidR="007B1AC2" w:rsidRPr="007B1AC2">
        <w:t xml:space="preserve">Cllr Ed Turner </w:t>
      </w:r>
      <w:r w:rsidRPr="00143CAE">
        <w:t xml:space="preserve">the portfolio holder for </w:t>
      </w:r>
      <w:r w:rsidR="0070180F">
        <w:t>F</w:t>
      </w:r>
      <w:r w:rsidRPr="00143CAE">
        <w:t>inance</w:t>
      </w:r>
      <w:r w:rsidR="007B1AC2">
        <w:t xml:space="preserve">, Asset Management and Public Health, </w:t>
      </w:r>
    </w:p>
    <w:p w:rsidR="00CF0A21" w:rsidRPr="00143CAE" w:rsidRDefault="00CF0A21" w:rsidP="00CF0A21">
      <w:pPr>
        <w:pStyle w:val="NoSpacing"/>
        <w:rPr>
          <w:rFonts w:ascii="Arial" w:hAnsi="Arial" w:cs="Arial"/>
          <w:b/>
          <w:sz w:val="24"/>
          <w:szCs w:val="24"/>
        </w:rPr>
      </w:pPr>
    </w:p>
    <w:p w:rsidR="0070180F" w:rsidRDefault="0070180F" w:rsidP="00687C99">
      <w:r>
        <w:t xml:space="preserve">Since the publication of our consultation budget, we have received a final settlement from the government, confirming the ending of Revenue Support Grant by 2019/20.  We have also become aware of two additional pressures – a reduction in funding from business rates going forward as part of a “fairer funding” process, and some significant reductions to the level of New Homes Bonus we will receive. </w:t>
      </w:r>
    </w:p>
    <w:p w:rsidR="0070180F" w:rsidRDefault="0070180F" w:rsidP="0070180F">
      <w:pPr>
        <w:tabs>
          <w:tab w:val="left" w:pos="567"/>
        </w:tabs>
        <w:ind w:left="567" w:right="386" w:hanging="567"/>
        <w:jc w:val="both"/>
        <w:rPr>
          <w:rFonts w:cs="Arial"/>
        </w:rPr>
      </w:pPr>
    </w:p>
    <w:p w:rsidR="0070180F" w:rsidRDefault="0070180F" w:rsidP="00687C99">
      <w:r>
        <w:t xml:space="preserve">Nonetheless, the proposals in this budget retain our ambition </w:t>
      </w:r>
      <w:r>
        <w:rPr>
          <w:b/>
        </w:rPr>
        <w:t>not to cut any frontline services over the next four years.</w:t>
      </w:r>
      <w:r>
        <w:t xml:space="preserve">  In doing so, we are proud of our workforce, who have continued to innovate, put forward proposals to make our services more efficient, and at the same time deliver excellent support to local people.  We make no apology for noting the comparison with our upper tier authority, which, at the same time as it seeks to expand its remit, presides over atrocious levels of educational attainment in its primary schools, is slashing support for homeless hostels, and is seriously reducing much-valued local services such as children’s centres.  We believe part of the reason for this is that we have not entered into large-scale privatisation contracts with outsourcing companies, and instead invested in our own workforce, and encouraging it to see its services more widely in the local area.  </w:t>
      </w:r>
    </w:p>
    <w:p w:rsidR="00687C99" w:rsidRDefault="0070180F" w:rsidP="0070180F">
      <w:pPr>
        <w:tabs>
          <w:tab w:val="left" w:pos="567"/>
        </w:tabs>
        <w:ind w:left="567" w:right="386" w:hanging="567"/>
        <w:jc w:val="both"/>
        <w:rPr>
          <w:rFonts w:cs="Arial"/>
        </w:rPr>
      </w:pPr>
      <w:r>
        <w:rPr>
          <w:rFonts w:cs="Arial"/>
        </w:rPr>
        <w:tab/>
      </w:r>
    </w:p>
    <w:p w:rsidR="0070180F" w:rsidRDefault="0070180F" w:rsidP="00687C99">
      <w:r>
        <w:t xml:space="preserve">A major priority in this budget is </w:t>
      </w:r>
      <w:r>
        <w:rPr>
          <w:i/>
        </w:rPr>
        <w:t>housing</w:t>
      </w:r>
      <w:r>
        <w:t>.  Oxford’s housing crisis gets ever more acute, with average house prices now topping £350,000, and therefore becoming unaffordable to those on middle as well as lower incomes. It includes £10 million in capital to invest in homes for homeless families, £1.3 million to build new council bungalows, and loans of up to £61 million for our new local housing company, which we expect to be at the forefront of delivering new housing, especially social rented housing, starting with the new development at Barton.</w:t>
      </w:r>
    </w:p>
    <w:p w:rsidR="0070180F" w:rsidRDefault="0070180F" w:rsidP="0070180F">
      <w:pPr>
        <w:tabs>
          <w:tab w:val="left" w:pos="567"/>
        </w:tabs>
        <w:ind w:left="567" w:right="386" w:hanging="567"/>
        <w:jc w:val="both"/>
        <w:rPr>
          <w:rFonts w:cs="Arial"/>
        </w:rPr>
      </w:pPr>
    </w:p>
    <w:p w:rsidR="0070180F" w:rsidRDefault="0070180F" w:rsidP="00687C99">
      <w:r>
        <w:t xml:space="preserve">We are also investing in our communities – there is over £4 million of funding for community centres in this budget, and we are proposing </w:t>
      </w:r>
      <w:r>
        <w:rPr>
          <w:b/>
        </w:rPr>
        <w:t>retaining in full</w:t>
      </w:r>
      <w:r w:rsidRPr="00687C99">
        <w:rPr>
          <w:b/>
        </w:rPr>
        <w:t xml:space="preserve"> </w:t>
      </w:r>
      <w:r w:rsidRPr="00687C99">
        <w:t xml:space="preserve">our homelessness prevention budget and our funding for the third sector, in areas like advice services and the arts.  We propose new, one-off funding to support “stay and play” sessions, in the hope these will become sustainable thereafter.  We have reinstated capital support for cycling schemes, aware of the benefits to local people and the wider community of having improved cycling </w:t>
      </w:r>
      <w:proofErr w:type="gramStart"/>
      <w:r w:rsidRPr="00687C99">
        <w:t>infrastructure,</w:t>
      </w:r>
      <w:proofErr w:type="gramEnd"/>
      <w:r w:rsidRPr="00687C99">
        <w:t xml:space="preserve"> and in </w:t>
      </w:r>
      <w:r>
        <w:t>the interests of improving air quality have earmarked match funding for a bid to support the introduction of electric taxi infrastructure in Oxford.</w:t>
      </w:r>
    </w:p>
    <w:p w:rsidR="0070180F" w:rsidRDefault="0070180F" w:rsidP="00687C99"/>
    <w:p w:rsidR="0070180F" w:rsidRDefault="0070180F" w:rsidP="00687C99">
      <w:r>
        <w:t>Our aim over the next four years is to continue to practice sound financial management, work in partnership with council staff to safeguard and improve frontline services, especially the most vulnerable, and take strong action to tackle Oxford’s housing crisis, avoid compulsory redundancies.  We believe this budget will assist us in meeting those objectives.</w:t>
      </w:r>
    </w:p>
    <w:p w:rsidR="00F4367A" w:rsidRPr="00FC3A80" w:rsidRDefault="00F4367A" w:rsidP="007C20F4">
      <w:pPr>
        <w:ind w:right="386" w:firstLine="540"/>
        <w:jc w:val="both"/>
        <w:rPr>
          <w:rFonts w:cs="Arial"/>
          <w:sz w:val="22"/>
          <w:szCs w:val="22"/>
        </w:rPr>
      </w:pPr>
    </w:p>
    <w:p w:rsidR="005765CE" w:rsidRDefault="005765CE" w:rsidP="00687C99">
      <w:pPr>
        <w:pStyle w:val="Heading1"/>
      </w:pPr>
      <w:r>
        <w:br w:type="page"/>
      </w:r>
    </w:p>
    <w:p w:rsidR="00B3306E" w:rsidRDefault="005765CE" w:rsidP="00687C99">
      <w:pPr>
        <w:pStyle w:val="Heading1"/>
      </w:pPr>
      <w:r w:rsidRPr="00B3306E">
        <w:lastRenderedPageBreak/>
        <w:t>Introduction</w:t>
      </w:r>
    </w:p>
    <w:p w:rsidR="003A2277" w:rsidRDefault="00D760C5" w:rsidP="00F45D14">
      <w:pPr>
        <w:pStyle w:val="ListParagraph"/>
      </w:pPr>
      <w:r w:rsidRPr="00F45D14">
        <w:t>T</w:t>
      </w:r>
      <w:r w:rsidR="00CC1EE8" w:rsidRPr="00F45D14">
        <w:t xml:space="preserve">his report </w:t>
      </w:r>
      <w:r w:rsidR="007774A8" w:rsidRPr="00F45D14">
        <w:t xml:space="preserve">reflects the outcome of the consultation on the draft budget agreed by </w:t>
      </w:r>
      <w:r w:rsidR="004170DA" w:rsidRPr="00F45D14">
        <w:t xml:space="preserve">the </w:t>
      </w:r>
      <w:r w:rsidR="007774A8" w:rsidRPr="00F45D14">
        <w:t>C</w:t>
      </w:r>
      <w:r w:rsidR="00C965E4" w:rsidRPr="00F45D14">
        <w:t xml:space="preserve">ity </w:t>
      </w:r>
      <w:r w:rsidR="007774A8" w:rsidRPr="00F45D14">
        <w:t>E</w:t>
      </w:r>
      <w:r w:rsidR="00C965E4" w:rsidRPr="00F45D14">
        <w:t xml:space="preserve">xecutive </w:t>
      </w:r>
      <w:r w:rsidR="007774A8" w:rsidRPr="00F45D14">
        <w:t>B</w:t>
      </w:r>
      <w:r w:rsidR="00C965E4" w:rsidRPr="00F45D14">
        <w:t>oard</w:t>
      </w:r>
      <w:r w:rsidR="007774A8" w:rsidRPr="00F45D14">
        <w:t xml:space="preserve"> </w:t>
      </w:r>
      <w:r w:rsidR="000E194D" w:rsidRPr="00F45D14">
        <w:t xml:space="preserve">at its meeting on </w:t>
      </w:r>
      <w:r w:rsidR="00437870" w:rsidRPr="00F45D14">
        <w:t>1</w:t>
      </w:r>
      <w:r w:rsidRPr="00F45D14">
        <w:t>7</w:t>
      </w:r>
      <w:r w:rsidR="00437870" w:rsidRPr="00F45D14">
        <w:t>th December 201</w:t>
      </w:r>
      <w:r w:rsidR="00D94CD3" w:rsidRPr="00F45D14">
        <w:t>6</w:t>
      </w:r>
      <w:r w:rsidR="000E194D" w:rsidRPr="00F45D14">
        <w:t xml:space="preserve"> as well as changes </w:t>
      </w:r>
      <w:r w:rsidR="004E775D" w:rsidRPr="00F45D14">
        <w:t xml:space="preserve">which have </w:t>
      </w:r>
      <w:r w:rsidR="000E194D" w:rsidRPr="00F45D14">
        <w:t>aris</w:t>
      </w:r>
      <w:r w:rsidR="004E775D" w:rsidRPr="00F45D14">
        <w:t>en</w:t>
      </w:r>
      <w:r w:rsidR="000E194D" w:rsidRPr="00F45D14">
        <w:t xml:space="preserve"> since the consultation budget was published</w:t>
      </w:r>
      <w:r w:rsidR="00437870" w:rsidRPr="00F45D14">
        <w:t xml:space="preserve">.  </w:t>
      </w:r>
    </w:p>
    <w:p w:rsidR="00F45D14" w:rsidRPr="00F45D14" w:rsidRDefault="00F45D14" w:rsidP="00F45D14">
      <w:pPr>
        <w:pStyle w:val="ListParagraph"/>
        <w:numPr>
          <w:ilvl w:val="0"/>
          <w:numId w:val="0"/>
        </w:numPr>
        <w:ind w:left="360"/>
      </w:pPr>
    </w:p>
    <w:p w:rsidR="00E4431E" w:rsidRDefault="008D0541" w:rsidP="00F45D14">
      <w:pPr>
        <w:pStyle w:val="ListParagraph"/>
        <w:rPr>
          <w:rFonts w:eastAsia="Calibri"/>
        </w:rPr>
      </w:pPr>
      <w:r w:rsidRPr="00F45D14">
        <w:rPr>
          <w:rFonts w:eastAsia="Calibri"/>
        </w:rPr>
        <w:t xml:space="preserve">The </w:t>
      </w:r>
      <w:r w:rsidR="003511A5" w:rsidRPr="00F45D14">
        <w:rPr>
          <w:rFonts w:eastAsia="Calibri"/>
        </w:rPr>
        <w:t>c</w:t>
      </w:r>
      <w:r w:rsidRPr="00F45D14">
        <w:rPr>
          <w:rFonts w:eastAsia="Calibri"/>
        </w:rPr>
        <w:t xml:space="preserve">onsultation </w:t>
      </w:r>
      <w:r w:rsidR="00C965E4" w:rsidRPr="00F45D14">
        <w:rPr>
          <w:rFonts w:eastAsia="Calibri"/>
        </w:rPr>
        <w:t>on the draft budget</w:t>
      </w:r>
      <w:r w:rsidRPr="00F45D14">
        <w:rPr>
          <w:rFonts w:eastAsia="Calibri"/>
        </w:rPr>
        <w:t xml:space="preserve"> began on </w:t>
      </w:r>
      <w:r w:rsidR="00F34D9A" w:rsidRPr="00F45D14">
        <w:rPr>
          <w:rFonts w:eastAsia="Calibri"/>
        </w:rPr>
        <w:t>18</w:t>
      </w:r>
      <w:r w:rsidRPr="00F45D14">
        <w:rPr>
          <w:rFonts w:eastAsia="Calibri"/>
        </w:rPr>
        <w:t>th December 201</w:t>
      </w:r>
      <w:r w:rsidR="00D94CD3" w:rsidRPr="00F45D14">
        <w:rPr>
          <w:rFonts w:eastAsia="Calibri"/>
        </w:rPr>
        <w:t>6</w:t>
      </w:r>
      <w:r w:rsidRPr="00F45D14">
        <w:rPr>
          <w:rFonts w:eastAsia="Calibri"/>
        </w:rPr>
        <w:t xml:space="preserve"> and ended on 31st January 201</w:t>
      </w:r>
      <w:r w:rsidR="00D94CD3" w:rsidRPr="00F45D14">
        <w:rPr>
          <w:rFonts w:eastAsia="Calibri"/>
        </w:rPr>
        <w:t>7</w:t>
      </w:r>
      <w:r w:rsidRPr="00F45D14">
        <w:rPr>
          <w:rFonts w:eastAsia="Calibri"/>
        </w:rPr>
        <w:t>.</w:t>
      </w:r>
      <w:r w:rsidR="003511A5" w:rsidRPr="00F45D14">
        <w:rPr>
          <w:rFonts w:eastAsia="Calibri"/>
        </w:rPr>
        <w:t xml:space="preserve"> </w:t>
      </w:r>
      <w:r w:rsidRPr="00F45D14">
        <w:rPr>
          <w:rFonts w:eastAsia="Calibri"/>
        </w:rPr>
        <w:t>The consultation document was available on the Council’s website Paper copies were also available at the Town Hall.</w:t>
      </w:r>
    </w:p>
    <w:p w:rsidR="00F45D14" w:rsidRPr="00F45D14" w:rsidRDefault="00F45D14" w:rsidP="00F45D14">
      <w:pPr>
        <w:pStyle w:val="ListParagraph"/>
        <w:numPr>
          <w:ilvl w:val="0"/>
          <w:numId w:val="0"/>
        </w:numPr>
        <w:ind w:left="360"/>
        <w:rPr>
          <w:rFonts w:eastAsia="Calibri"/>
        </w:rPr>
      </w:pPr>
    </w:p>
    <w:p w:rsidR="00E4431E" w:rsidRPr="00F45D14" w:rsidRDefault="00E4431E" w:rsidP="00F45D14">
      <w:pPr>
        <w:pStyle w:val="ListParagraph"/>
      </w:pPr>
      <w:r w:rsidRPr="00F45D14">
        <w:t xml:space="preserve">For ease of reading; the report is split into </w:t>
      </w:r>
      <w:r w:rsidR="00D06CE8" w:rsidRPr="00F45D14">
        <w:t>three</w:t>
      </w:r>
      <w:r w:rsidRPr="00F45D14">
        <w:t xml:space="preserve"> sections:</w:t>
      </w:r>
    </w:p>
    <w:p w:rsidR="00E4431E" w:rsidRPr="0097022F" w:rsidRDefault="00E4431E" w:rsidP="00E4431E">
      <w:pPr>
        <w:ind w:left="720" w:right="386" w:firstLine="720"/>
        <w:jc w:val="both"/>
      </w:pPr>
      <w:r w:rsidRPr="0097022F">
        <w:t xml:space="preserve">Section </w:t>
      </w:r>
      <w:proofErr w:type="gramStart"/>
      <w:r>
        <w:t>A</w:t>
      </w:r>
      <w:proofErr w:type="gramEnd"/>
      <w:r w:rsidRPr="0097022F">
        <w:t xml:space="preserve"> General Fund Revenue Budget</w:t>
      </w:r>
    </w:p>
    <w:p w:rsidR="00E4431E" w:rsidRPr="0097022F" w:rsidRDefault="00E4431E" w:rsidP="00E4431E">
      <w:pPr>
        <w:ind w:left="720" w:right="386" w:firstLine="720"/>
        <w:jc w:val="both"/>
      </w:pPr>
      <w:r w:rsidRPr="0097022F">
        <w:t xml:space="preserve">Section </w:t>
      </w:r>
      <w:r>
        <w:t>B</w:t>
      </w:r>
      <w:r w:rsidRPr="0097022F">
        <w:t xml:space="preserve"> Housing Revenue Account (HRA) Budget</w:t>
      </w:r>
    </w:p>
    <w:p w:rsidR="00E4431E" w:rsidRDefault="00E4431E" w:rsidP="00E4431E">
      <w:pPr>
        <w:ind w:left="720" w:right="386" w:firstLine="720"/>
        <w:jc w:val="both"/>
      </w:pPr>
      <w:r w:rsidRPr="0097022F">
        <w:t xml:space="preserve">Section </w:t>
      </w:r>
      <w:r>
        <w:t>C</w:t>
      </w:r>
      <w:r w:rsidRPr="0097022F">
        <w:t xml:space="preserve"> Capital </w:t>
      </w:r>
      <w:r>
        <w:t>Programme</w:t>
      </w:r>
    </w:p>
    <w:p w:rsidR="004605C4" w:rsidRPr="00F45D14" w:rsidRDefault="004605C4" w:rsidP="00E4431E">
      <w:pPr>
        <w:ind w:left="720" w:right="386" w:firstLine="720"/>
        <w:jc w:val="both"/>
        <w:rPr>
          <w:sz w:val="28"/>
        </w:rPr>
      </w:pPr>
    </w:p>
    <w:p w:rsidR="00E4431E" w:rsidRPr="00F45D14" w:rsidRDefault="00E4431E" w:rsidP="00F45D14">
      <w:pPr>
        <w:pStyle w:val="Heading1"/>
        <w:rPr>
          <w:sz w:val="28"/>
        </w:rPr>
      </w:pPr>
      <w:r w:rsidRPr="00F45D14">
        <w:rPr>
          <w:sz w:val="28"/>
        </w:rPr>
        <w:t xml:space="preserve">Section </w:t>
      </w:r>
      <w:proofErr w:type="gramStart"/>
      <w:r w:rsidRPr="00F45D14">
        <w:rPr>
          <w:sz w:val="28"/>
        </w:rPr>
        <w:t>A</w:t>
      </w:r>
      <w:proofErr w:type="gramEnd"/>
      <w:r w:rsidRPr="00F45D14">
        <w:rPr>
          <w:sz w:val="28"/>
        </w:rPr>
        <w:t xml:space="preserve"> – General Fund Revenue Budget</w:t>
      </w:r>
    </w:p>
    <w:p w:rsidR="006D057E" w:rsidRDefault="00E4431E" w:rsidP="00F45D14">
      <w:pPr>
        <w:pStyle w:val="ListParagraph"/>
      </w:pPr>
      <w:r w:rsidRPr="00CB6293">
        <w:t xml:space="preserve">Since the publication of the Consultation Budget a number of key issues have </w:t>
      </w:r>
      <w:r>
        <w:t xml:space="preserve">arisen which </w:t>
      </w:r>
      <w:r w:rsidR="00B37CC8">
        <w:t>a</w:t>
      </w:r>
      <w:r>
        <w:t>ffect the budget</w:t>
      </w:r>
      <w:r w:rsidR="00633BDC">
        <w:t>,</w:t>
      </w:r>
      <w:r w:rsidRPr="00CB6293">
        <w:t xml:space="preserve"> these are summarised below: </w:t>
      </w:r>
    </w:p>
    <w:p w:rsidR="004E7A86" w:rsidRDefault="004E7A86" w:rsidP="00902055">
      <w:pPr>
        <w:ind w:left="900" w:right="386" w:hanging="360"/>
        <w:jc w:val="both"/>
      </w:pPr>
    </w:p>
    <w:p w:rsidR="00DE2F6C" w:rsidRDefault="00AF77B0" w:rsidP="00F45D14">
      <w:pPr>
        <w:pStyle w:val="Heading1"/>
      </w:pPr>
      <w:r>
        <w:t xml:space="preserve">Provisional </w:t>
      </w:r>
      <w:r w:rsidR="00901E97" w:rsidRPr="00DE2F6C">
        <w:t>Local Government Finance Settle</w:t>
      </w:r>
      <w:r w:rsidR="00DE2F6C" w:rsidRPr="00DE2F6C">
        <w:t>ment 201</w:t>
      </w:r>
      <w:r w:rsidR="00D94CD3">
        <w:t>7</w:t>
      </w:r>
      <w:r w:rsidR="00DE2F6C" w:rsidRPr="00DE2F6C">
        <w:t>-1</w:t>
      </w:r>
      <w:r w:rsidR="00D94CD3">
        <w:t>8</w:t>
      </w:r>
      <w:r w:rsidR="00DE2F6C" w:rsidRPr="00DE2F6C">
        <w:t xml:space="preserve"> </w:t>
      </w:r>
    </w:p>
    <w:p w:rsidR="00DE2F6C" w:rsidRPr="00FB642C" w:rsidRDefault="00DE2F6C" w:rsidP="00F45D14">
      <w:pPr>
        <w:pStyle w:val="ListParagraph"/>
      </w:pPr>
      <w:r w:rsidRPr="003B0605">
        <w:t xml:space="preserve">The Government published </w:t>
      </w:r>
      <w:r w:rsidR="00AF77B0" w:rsidRPr="003B0605">
        <w:t xml:space="preserve">its </w:t>
      </w:r>
      <w:r w:rsidR="00633BDC" w:rsidRPr="003B0605">
        <w:t>P</w:t>
      </w:r>
      <w:r w:rsidR="00AF77B0" w:rsidRPr="003B0605">
        <w:t>rovisional Finance Settlement for 201</w:t>
      </w:r>
      <w:r w:rsidR="00F34D9A" w:rsidRPr="003B0605">
        <w:t>7</w:t>
      </w:r>
      <w:r w:rsidR="001F796B">
        <w:t xml:space="preserve">/18 </w:t>
      </w:r>
      <w:r w:rsidR="00D760C5" w:rsidRPr="003B0605">
        <w:t xml:space="preserve">on </w:t>
      </w:r>
      <w:r w:rsidR="00AF77B0" w:rsidRPr="003B0605">
        <w:t>1</w:t>
      </w:r>
      <w:r w:rsidR="00D94CD3" w:rsidRPr="003B0605">
        <w:t>7</w:t>
      </w:r>
      <w:r w:rsidR="00AF77B0" w:rsidRPr="003B0605">
        <w:t xml:space="preserve"> December</w:t>
      </w:r>
      <w:r w:rsidR="00F34D9A" w:rsidRPr="003B0605">
        <w:t xml:space="preserve"> 201</w:t>
      </w:r>
      <w:r w:rsidR="00D94CD3" w:rsidRPr="003B0605">
        <w:t>6</w:t>
      </w:r>
      <w:r w:rsidR="00AF77B0" w:rsidRPr="003B0605">
        <w:t xml:space="preserve">, </w:t>
      </w:r>
      <w:r w:rsidR="001F796B">
        <w:t xml:space="preserve">together </w:t>
      </w:r>
      <w:r w:rsidR="002E61E2">
        <w:t>with indicative figures for 2018-19</w:t>
      </w:r>
      <w:r w:rsidR="004605C4">
        <w:t xml:space="preserve"> and 2019-20</w:t>
      </w:r>
      <w:r w:rsidR="00937C83">
        <w:t xml:space="preserve">. These </w:t>
      </w:r>
      <w:r w:rsidR="0035325A">
        <w:t xml:space="preserve">were </w:t>
      </w:r>
      <w:r w:rsidR="00937C83">
        <w:t>subject to consultation which close</w:t>
      </w:r>
      <w:r w:rsidR="0035325A">
        <w:t>d</w:t>
      </w:r>
      <w:r w:rsidR="00937C83">
        <w:t xml:space="preserve"> on 13 January.</w:t>
      </w:r>
    </w:p>
    <w:p w:rsidR="00AF77B0" w:rsidRPr="003B0605" w:rsidRDefault="00AF77B0" w:rsidP="00D725A3">
      <w:pPr>
        <w:pStyle w:val="Default"/>
        <w:spacing w:after="120"/>
        <w:ind w:firstLine="567"/>
      </w:pPr>
      <w:r w:rsidRPr="003B0605">
        <w:t xml:space="preserve">The key </w:t>
      </w:r>
      <w:r w:rsidR="006A3A7B" w:rsidRPr="003B0605">
        <w:t>points</w:t>
      </w:r>
      <w:r w:rsidRPr="003B0605">
        <w:t xml:space="preserve"> </w:t>
      </w:r>
      <w:r w:rsidR="00674634" w:rsidRPr="003B0605">
        <w:t>include:</w:t>
      </w:r>
    </w:p>
    <w:p w:rsidR="00D94CD3" w:rsidRPr="002E61E2" w:rsidRDefault="002E61E2" w:rsidP="007B1AC2">
      <w:pPr>
        <w:pStyle w:val="Style4"/>
        <w:ind w:left="567"/>
        <w:jc w:val="left"/>
        <w:rPr>
          <w:szCs w:val="24"/>
        </w:rPr>
      </w:pPr>
      <w:r w:rsidRPr="002E61E2">
        <w:rPr>
          <w:szCs w:val="24"/>
        </w:rPr>
        <w:t xml:space="preserve">Upper tier authorities </w:t>
      </w:r>
      <w:r w:rsidR="00D94CD3" w:rsidRPr="002E61E2">
        <w:rPr>
          <w:szCs w:val="24"/>
        </w:rPr>
        <w:t>be</w:t>
      </w:r>
      <w:r w:rsidR="00DB11B8">
        <w:rPr>
          <w:szCs w:val="24"/>
        </w:rPr>
        <w:t xml:space="preserve">ing </w:t>
      </w:r>
      <w:r w:rsidR="00D94CD3" w:rsidRPr="002E61E2">
        <w:rPr>
          <w:szCs w:val="24"/>
        </w:rPr>
        <w:t xml:space="preserve">able to increase the Social Care Precept by up to 3% per annum in 2017/18 and 2018/19.  However, authorities that </w:t>
      </w:r>
      <w:r w:rsidR="00761478">
        <w:rPr>
          <w:szCs w:val="24"/>
        </w:rPr>
        <w:t xml:space="preserve">do so </w:t>
      </w:r>
      <w:r w:rsidR="00D94CD3" w:rsidRPr="002E61E2">
        <w:rPr>
          <w:szCs w:val="24"/>
        </w:rPr>
        <w:t xml:space="preserve">will not be able </w:t>
      </w:r>
      <w:r w:rsidR="00761478">
        <w:rPr>
          <w:szCs w:val="24"/>
        </w:rPr>
        <w:t xml:space="preserve">to </w:t>
      </w:r>
      <w:r w:rsidR="00D94CD3" w:rsidRPr="002E61E2">
        <w:rPr>
          <w:szCs w:val="24"/>
        </w:rPr>
        <w:t xml:space="preserve">make a further increase in 2019/20 (i.e. the total allowable increase over the three-year period </w:t>
      </w:r>
      <w:r w:rsidR="00761478">
        <w:rPr>
          <w:szCs w:val="24"/>
        </w:rPr>
        <w:t xml:space="preserve">is </w:t>
      </w:r>
      <w:r w:rsidR="00D94CD3" w:rsidRPr="002E61E2">
        <w:rPr>
          <w:szCs w:val="24"/>
        </w:rPr>
        <w:t xml:space="preserve">6%).  </w:t>
      </w:r>
    </w:p>
    <w:p w:rsidR="00D94CD3" w:rsidRPr="002E61E2" w:rsidRDefault="00D94CD3" w:rsidP="00030F4B">
      <w:pPr>
        <w:pStyle w:val="Style4"/>
        <w:ind w:left="426"/>
      </w:pPr>
      <w:r w:rsidRPr="002E61E2">
        <w:t xml:space="preserve">upper tier authorities wishing to </w:t>
      </w:r>
      <w:r w:rsidR="00ED6C68">
        <w:t xml:space="preserve">raise </w:t>
      </w:r>
      <w:r w:rsidRPr="002E61E2">
        <w:t>the</w:t>
      </w:r>
      <w:r w:rsidR="00ED6C68">
        <w:t xml:space="preserve">ir </w:t>
      </w:r>
      <w:r w:rsidRPr="002E61E2">
        <w:t xml:space="preserve">council tax  by 5% or more (i.e. 2% referendum threshold and 3% social care precept) </w:t>
      </w:r>
      <w:r w:rsidR="00E214D5">
        <w:t>w</w:t>
      </w:r>
      <w:r w:rsidR="002E5A67">
        <w:t xml:space="preserve">ill need to hold a referendum. </w:t>
      </w:r>
      <w:r w:rsidRPr="002E61E2">
        <w:t>For district councils, increases of less than 2% or up to and including £5 (whichever is higher) above the authority’s relevant basic amount of council tax for 2016/17 can be made without triggering a referendum.</w:t>
      </w:r>
    </w:p>
    <w:p w:rsidR="00D94CD3" w:rsidRPr="002E61E2" w:rsidRDefault="00D94CD3" w:rsidP="00030F4B">
      <w:pPr>
        <w:pStyle w:val="Style4"/>
        <w:ind w:left="426"/>
      </w:pPr>
      <w:r w:rsidRPr="002E61E2">
        <w:t xml:space="preserve">The 2017/18 New Homes Bonus allocations and details of the consultation on the future of the scheme have been announced (previously these figures were only indicative).  The number of years that the scheme will be based upon (currently 6 years’ in 2016/17) will reduce to 5 years in 2017/18 and 4 years from 2018/19 onwards.  The scheme will now also only reward growth in homes above 0.4% per annum.  </w:t>
      </w:r>
    </w:p>
    <w:p w:rsidR="00D94CD3" w:rsidRPr="002E61E2" w:rsidRDefault="00D94CD3" w:rsidP="00030F4B">
      <w:pPr>
        <w:pStyle w:val="Style4"/>
        <w:ind w:left="426"/>
      </w:pPr>
      <w:r w:rsidRPr="002E61E2">
        <w:t xml:space="preserve">The changes to the New Homes Bonus Scheme have allowed the government to remove £241m </w:t>
      </w:r>
      <w:r w:rsidR="001A783D">
        <w:t xml:space="preserve">of funding </w:t>
      </w:r>
      <w:r w:rsidRPr="002E61E2">
        <w:t>from the scheme.  This funding has been diverted to the new Adult Social Care Support Grant</w:t>
      </w:r>
      <w:r w:rsidR="001A783D">
        <w:t xml:space="preserve"> and will </w:t>
      </w:r>
      <w:r w:rsidRPr="002E61E2">
        <w:t xml:space="preserve">be distributed based on the adult social care relative needs formula and is for 2017/18 only. </w:t>
      </w:r>
    </w:p>
    <w:p w:rsidR="00D94CD3" w:rsidRPr="002E61E2" w:rsidRDefault="00D94CD3" w:rsidP="00030F4B">
      <w:pPr>
        <w:pStyle w:val="Style4"/>
        <w:ind w:left="426"/>
      </w:pPr>
      <w:r w:rsidRPr="002E61E2">
        <w:t xml:space="preserve">97% of authorities accepted the government’s four-year fixed settlement offer.  In response to a question in Parliament, the Minister said that those authorities not accepting the offer would therefore still be subject to an annual settlement.  </w:t>
      </w:r>
    </w:p>
    <w:p w:rsidR="00D94CD3" w:rsidRPr="002E61E2" w:rsidRDefault="00D94CD3" w:rsidP="00030F4B">
      <w:pPr>
        <w:pStyle w:val="Style4"/>
        <w:ind w:left="426"/>
      </w:pPr>
      <w:r w:rsidRPr="002E61E2">
        <w:lastRenderedPageBreak/>
        <w:t>Within the business rates retention system the N</w:t>
      </w:r>
      <w:r w:rsidR="001A783D">
        <w:t xml:space="preserve">ational </w:t>
      </w:r>
      <w:r w:rsidRPr="002E61E2">
        <w:t>N</w:t>
      </w:r>
      <w:r w:rsidR="001A783D">
        <w:t>on-</w:t>
      </w:r>
      <w:r w:rsidRPr="002E61E2">
        <w:t>D</w:t>
      </w:r>
      <w:r w:rsidR="001A783D">
        <w:t xml:space="preserve">omestic </w:t>
      </w:r>
      <w:r w:rsidRPr="002E61E2">
        <w:t>R</w:t>
      </w:r>
      <w:r w:rsidR="001A783D">
        <w:t>ates</w:t>
      </w:r>
      <w:r w:rsidR="00837DCD">
        <w:t xml:space="preserve"> (NNDR)</w:t>
      </w:r>
      <w:r w:rsidRPr="002E61E2">
        <w:t xml:space="preserve"> baseline and top up/tariff amounts have been amended to reflect Revaluation 2017.   The adjusted amounts are intended to make changes in Rateable Value revenue neutral for individual authorities; with changes to authorities’ NNDR Baseline (and therefore tariff/top up) being equal and opposite to the forecast change in the ability to raise business rates locally.  </w:t>
      </w:r>
    </w:p>
    <w:p w:rsidR="00503BF4" w:rsidRPr="00F45D14" w:rsidRDefault="00503BF4" w:rsidP="00F45D14">
      <w:pPr>
        <w:pStyle w:val="Heading1"/>
      </w:pPr>
      <w:r w:rsidRPr="00F45D14">
        <w:t>Settlement Funding Assessment (SFA)</w:t>
      </w:r>
    </w:p>
    <w:p w:rsidR="00503BF4" w:rsidRDefault="008F1E00" w:rsidP="00F45D14">
      <w:pPr>
        <w:pStyle w:val="ListParagraph"/>
      </w:pPr>
      <w:r w:rsidRPr="00287523">
        <w:t>The Settlement Funding Assessment comprises</w:t>
      </w:r>
      <w:r w:rsidR="00503BF4">
        <w:t xml:space="preserve"> authorities Revenue Support Grant (RSG) and </w:t>
      </w:r>
      <w:r w:rsidR="008D6035">
        <w:t>their</w:t>
      </w:r>
      <w:r>
        <w:t xml:space="preserve"> </w:t>
      </w:r>
      <w:r w:rsidR="00503BF4">
        <w:t xml:space="preserve">share of </w:t>
      </w:r>
      <w:r w:rsidR="008D6035">
        <w:t xml:space="preserve">locally retained </w:t>
      </w:r>
      <w:r w:rsidR="00503BF4">
        <w:t>business rates</w:t>
      </w:r>
      <w:r w:rsidR="007B4774">
        <w:t xml:space="preserve"> (the baseline funding level)</w:t>
      </w:r>
      <w:r w:rsidR="00503BF4">
        <w:t>. The figures for Oxford City Council are as follows:</w:t>
      </w:r>
    </w:p>
    <w:p w:rsidR="00503BF4" w:rsidRDefault="00503BF4" w:rsidP="00503BF4">
      <w:pPr>
        <w:ind w:left="709" w:hanging="142"/>
        <w:rPr>
          <w:rFonts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1417"/>
        <w:gridCol w:w="1701"/>
        <w:gridCol w:w="1559"/>
      </w:tblGrid>
      <w:tr w:rsidR="00895AE4" w:rsidRPr="00503BF4" w:rsidTr="00287523">
        <w:tc>
          <w:tcPr>
            <w:tcW w:w="9747" w:type="dxa"/>
            <w:gridSpan w:val="5"/>
          </w:tcPr>
          <w:p w:rsidR="00895AE4" w:rsidRPr="00503BF4" w:rsidRDefault="00895AE4" w:rsidP="00895AE4">
            <w:pPr>
              <w:tabs>
                <w:tab w:val="left" w:pos="1350"/>
              </w:tabs>
              <w:rPr>
                <w:b/>
              </w:rPr>
            </w:pPr>
            <w:r>
              <w:rPr>
                <w:b/>
              </w:rPr>
              <w:t>Table 1 : Settlement Funding Assessment</w:t>
            </w:r>
          </w:p>
        </w:tc>
      </w:tr>
      <w:tr w:rsidR="00503BF4" w:rsidRPr="00503BF4" w:rsidTr="00287523">
        <w:tc>
          <w:tcPr>
            <w:tcW w:w="3227" w:type="dxa"/>
          </w:tcPr>
          <w:p w:rsidR="00503BF4" w:rsidRPr="00503BF4" w:rsidRDefault="00503BF4" w:rsidP="00503BF4">
            <w:pPr>
              <w:ind w:right="386"/>
              <w:rPr>
                <w:b/>
              </w:rPr>
            </w:pPr>
          </w:p>
        </w:tc>
        <w:tc>
          <w:tcPr>
            <w:tcW w:w="1843" w:type="dxa"/>
            <w:shd w:val="clear" w:color="auto" w:fill="BFBFBF"/>
          </w:tcPr>
          <w:p w:rsidR="00503BF4" w:rsidRPr="00503BF4" w:rsidRDefault="00503BF4" w:rsidP="006C1193">
            <w:pPr>
              <w:tabs>
                <w:tab w:val="left" w:pos="1404"/>
              </w:tabs>
              <w:jc w:val="center"/>
              <w:rPr>
                <w:b/>
              </w:rPr>
            </w:pPr>
            <w:r w:rsidRPr="00503BF4">
              <w:rPr>
                <w:b/>
              </w:rPr>
              <w:t>201</w:t>
            </w:r>
            <w:r w:rsidR="006C1193">
              <w:rPr>
                <w:b/>
              </w:rPr>
              <w:t>7</w:t>
            </w:r>
            <w:r w:rsidRPr="00503BF4">
              <w:rPr>
                <w:b/>
              </w:rPr>
              <w:t>/1</w:t>
            </w:r>
            <w:r w:rsidR="006C1193">
              <w:rPr>
                <w:b/>
              </w:rPr>
              <w:t>8</w:t>
            </w:r>
          </w:p>
        </w:tc>
        <w:tc>
          <w:tcPr>
            <w:tcW w:w="1417" w:type="dxa"/>
            <w:shd w:val="clear" w:color="auto" w:fill="BFBFBF"/>
          </w:tcPr>
          <w:p w:rsidR="00503BF4" w:rsidRPr="00503BF4" w:rsidRDefault="00503BF4" w:rsidP="006C1193">
            <w:pPr>
              <w:jc w:val="center"/>
              <w:rPr>
                <w:b/>
              </w:rPr>
            </w:pPr>
            <w:r w:rsidRPr="00503BF4">
              <w:rPr>
                <w:b/>
              </w:rPr>
              <w:t>201</w:t>
            </w:r>
            <w:r w:rsidR="006C1193">
              <w:rPr>
                <w:b/>
              </w:rPr>
              <w:t>8</w:t>
            </w:r>
            <w:r w:rsidRPr="00503BF4">
              <w:rPr>
                <w:b/>
              </w:rPr>
              <w:t>/1</w:t>
            </w:r>
            <w:r w:rsidR="006C1193">
              <w:rPr>
                <w:b/>
              </w:rPr>
              <w:t>9</w:t>
            </w:r>
          </w:p>
        </w:tc>
        <w:tc>
          <w:tcPr>
            <w:tcW w:w="1701" w:type="dxa"/>
            <w:shd w:val="clear" w:color="auto" w:fill="BFBFBF"/>
          </w:tcPr>
          <w:p w:rsidR="00503BF4" w:rsidRPr="00503BF4" w:rsidRDefault="00503BF4" w:rsidP="006C1193">
            <w:pPr>
              <w:ind w:right="-6"/>
              <w:jc w:val="center"/>
              <w:rPr>
                <w:b/>
              </w:rPr>
            </w:pPr>
            <w:r w:rsidRPr="00503BF4">
              <w:rPr>
                <w:b/>
              </w:rPr>
              <w:t>201</w:t>
            </w:r>
            <w:r w:rsidR="006C1193">
              <w:rPr>
                <w:b/>
              </w:rPr>
              <w:t>9</w:t>
            </w:r>
            <w:r w:rsidRPr="00503BF4">
              <w:rPr>
                <w:b/>
              </w:rPr>
              <w:t>/</w:t>
            </w:r>
            <w:r w:rsidR="006C1193">
              <w:rPr>
                <w:b/>
              </w:rPr>
              <w:t>20</w:t>
            </w:r>
          </w:p>
        </w:tc>
        <w:tc>
          <w:tcPr>
            <w:tcW w:w="1559" w:type="dxa"/>
            <w:shd w:val="clear" w:color="auto" w:fill="BFBFBF"/>
          </w:tcPr>
          <w:p w:rsidR="00503BF4" w:rsidRPr="00503BF4" w:rsidRDefault="00503BF4" w:rsidP="006C1193">
            <w:pPr>
              <w:tabs>
                <w:tab w:val="left" w:pos="1350"/>
              </w:tabs>
              <w:jc w:val="center"/>
              <w:rPr>
                <w:b/>
              </w:rPr>
            </w:pPr>
            <w:r w:rsidRPr="00503BF4">
              <w:rPr>
                <w:b/>
              </w:rPr>
              <w:t>20</w:t>
            </w:r>
            <w:r w:rsidR="006C1193">
              <w:rPr>
                <w:b/>
              </w:rPr>
              <w:t>20</w:t>
            </w:r>
            <w:r w:rsidRPr="00503BF4">
              <w:rPr>
                <w:b/>
              </w:rPr>
              <w:t>/2</w:t>
            </w:r>
            <w:r w:rsidR="006C1193">
              <w:rPr>
                <w:b/>
              </w:rPr>
              <w:t>1</w:t>
            </w:r>
            <w:r w:rsidR="00236C9D">
              <w:rPr>
                <w:b/>
              </w:rPr>
              <w:t xml:space="preserve"> *</w:t>
            </w:r>
          </w:p>
        </w:tc>
      </w:tr>
      <w:tr w:rsidR="00503BF4" w:rsidRPr="00503BF4" w:rsidTr="00287523">
        <w:tc>
          <w:tcPr>
            <w:tcW w:w="3227" w:type="dxa"/>
          </w:tcPr>
          <w:p w:rsidR="00503BF4" w:rsidRPr="00503BF4" w:rsidRDefault="00503BF4" w:rsidP="00503BF4">
            <w:pPr>
              <w:ind w:right="386"/>
            </w:pPr>
          </w:p>
        </w:tc>
        <w:tc>
          <w:tcPr>
            <w:tcW w:w="1843" w:type="dxa"/>
            <w:shd w:val="clear" w:color="auto" w:fill="BFBFBF"/>
          </w:tcPr>
          <w:p w:rsidR="00503BF4" w:rsidRPr="00503BF4" w:rsidRDefault="00503BF4" w:rsidP="00503BF4">
            <w:pPr>
              <w:tabs>
                <w:tab w:val="left" w:pos="1404"/>
              </w:tabs>
              <w:jc w:val="center"/>
              <w:rPr>
                <w:b/>
              </w:rPr>
            </w:pPr>
            <w:r w:rsidRPr="00503BF4">
              <w:rPr>
                <w:b/>
              </w:rPr>
              <w:t>£000’s</w:t>
            </w:r>
          </w:p>
        </w:tc>
        <w:tc>
          <w:tcPr>
            <w:tcW w:w="1417" w:type="dxa"/>
            <w:shd w:val="clear" w:color="auto" w:fill="BFBFBF"/>
          </w:tcPr>
          <w:p w:rsidR="00503BF4" w:rsidRPr="00503BF4" w:rsidRDefault="00503BF4" w:rsidP="00503BF4">
            <w:pPr>
              <w:jc w:val="center"/>
              <w:rPr>
                <w:b/>
              </w:rPr>
            </w:pPr>
            <w:r w:rsidRPr="00503BF4">
              <w:rPr>
                <w:b/>
              </w:rPr>
              <w:t>£000’s</w:t>
            </w:r>
          </w:p>
        </w:tc>
        <w:tc>
          <w:tcPr>
            <w:tcW w:w="1701" w:type="dxa"/>
            <w:shd w:val="clear" w:color="auto" w:fill="BFBFBF"/>
          </w:tcPr>
          <w:p w:rsidR="00503BF4" w:rsidRPr="00503BF4" w:rsidRDefault="00503BF4" w:rsidP="00503BF4">
            <w:pPr>
              <w:ind w:right="-6"/>
              <w:jc w:val="center"/>
              <w:rPr>
                <w:b/>
              </w:rPr>
            </w:pPr>
            <w:r w:rsidRPr="00503BF4">
              <w:rPr>
                <w:b/>
              </w:rPr>
              <w:t>£000’s</w:t>
            </w:r>
          </w:p>
        </w:tc>
        <w:tc>
          <w:tcPr>
            <w:tcW w:w="1559" w:type="dxa"/>
            <w:shd w:val="clear" w:color="auto" w:fill="BFBFBF"/>
          </w:tcPr>
          <w:p w:rsidR="00503BF4" w:rsidRPr="00503BF4" w:rsidRDefault="00503BF4" w:rsidP="00503BF4">
            <w:pPr>
              <w:tabs>
                <w:tab w:val="left" w:pos="1350"/>
              </w:tabs>
              <w:jc w:val="center"/>
              <w:rPr>
                <w:b/>
              </w:rPr>
            </w:pPr>
            <w:r w:rsidRPr="00503BF4">
              <w:rPr>
                <w:b/>
              </w:rPr>
              <w:t>£000’s</w:t>
            </w:r>
          </w:p>
        </w:tc>
      </w:tr>
      <w:tr w:rsidR="00503BF4" w:rsidRPr="00503BF4" w:rsidTr="00287523">
        <w:tc>
          <w:tcPr>
            <w:tcW w:w="3227" w:type="dxa"/>
          </w:tcPr>
          <w:p w:rsidR="00503BF4" w:rsidRPr="00503BF4" w:rsidRDefault="00503BF4" w:rsidP="00503BF4">
            <w:pPr>
              <w:ind w:right="386"/>
              <w:rPr>
                <w:b/>
              </w:rPr>
            </w:pPr>
            <w:r w:rsidRPr="00503BF4">
              <w:rPr>
                <w:b/>
              </w:rPr>
              <w:t>Total SFA</w:t>
            </w:r>
          </w:p>
        </w:tc>
        <w:tc>
          <w:tcPr>
            <w:tcW w:w="1843" w:type="dxa"/>
          </w:tcPr>
          <w:p w:rsidR="00503BF4" w:rsidRPr="00503BF4" w:rsidRDefault="00236C9D" w:rsidP="00C003DB">
            <w:pPr>
              <w:tabs>
                <w:tab w:val="left" w:pos="1404"/>
              </w:tabs>
              <w:jc w:val="right"/>
              <w:rPr>
                <w:b/>
              </w:rPr>
            </w:pPr>
            <w:r>
              <w:rPr>
                <w:b/>
              </w:rPr>
              <w:t>7,3</w:t>
            </w:r>
            <w:r w:rsidR="00C003DB">
              <w:rPr>
                <w:b/>
              </w:rPr>
              <w:t>04</w:t>
            </w:r>
          </w:p>
        </w:tc>
        <w:tc>
          <w:tcPr>
            <w:tcW w:w="1417" w:type="dxa"/>
          </w:tcPr>
          <w:p w:rsidR="00503BF4" w:rsidRPr="00503BF4" w:rsidRDefault="00236C9D" w:rsidP="00236C9D">
            <w:pPr>
              <w:jc w:val="right"/>
              <w:rPr>
                <w:b/>
              </w:rPr>
            </w:pPr>
            <w:r>
              <w:rPr>
                <w:b/>
              </w:rPr>
              <w:t>6,664</w:t>
            </w:r>
          </w:p>
        </w:tc>
        <w:tc>
          <w:tcPr>
            <w:tcW w:w="1701" w:type="dxa"/>
          </w:tcPr>
          <w:p w:rsidR="00503BF4" w:rsidRPr="00503BF4" w:rsidRDefault="00236C9D" w:rsidP="00661B79">
            <w:pPr>
              <w:ind w:right="-6"/>
              <w:jc w:val="right"/>
              <w:rPr>
                <w:b/>
              </w:rPr>
            </w:pPr>
            <w:r>
              <w:rPr>
                <w:b/>
              </w:rPr>
              <w:t>5,9</w:t>
            </w:r>
            <w:r w:rsidR="00661B79">
              <w:rPr>
                <w:b/>
              </w:rPr>
              <w:t>5</w:t>
            </w:r>
            <w:r>
              <w:rPr>
                <w:b/>
              </w:rPr>
              <w:t>4</w:t>
            </w:r>
          </w:p>
        </w:tc>
        <w:tc>
          <w:tcPr>
            <w:tcW w:w="1559" w:type="dxa"/>
          </w:tcPr>
          <w:p w:rsidR="00503BF4" w:rsidRPr="00503BF4" w:rsidRDefault="00236C9D" w:rsidP="00503BF4">
            <w:pPr>
              <w:tabs>
                <w:tab w:val="left" w:pos="1350"/>
              </w:tabs>
              <w:jc w:val="right"/>
              <w:rPr>
                <w:b/>
              </w:rPr>
            </w:pPr>
            <w:r>
              <w:rPr>
                <w:b/>
              </w:rPr>
              <w:t>6,375</w:t>
            </w:r>
          </w:p>
        </w:tc>
      </w:tr>
      <w:tr w:rsidR="00503BF4" w:rsidRPr="00503BF4" w:rsidTr="00287523">
        <w:tc>
          <w:tcPr>
            <w:tcW w:w="3227" w:type="dxa"/>
          </w:tcPr>
          <w:p w:rsidR="00503BF4" w:rsidRPr="00503BF4" w:rsidRDefault="00503BF4" w:rsidP="00503BF4">
            <w:pPr>
              <w:ind w:right="386"/>
            </w:pPr>
            <w:r w:rsidRPr="00503BF4">
              <w:t>of which</w:t>
            </w:r>
          </w:p>
        </w:tc>
        <w:tc>
          <w:tcPr>
            <w:tcW w:w="1843" w:type="dxa"/>
          </w:tcPr>
          <w:p w:rsidR="00503BF4" w:rsidRPr="00503BF4" w:rsidRDefault="00503BF4" w:rsidP="00503BF4">
            <w:pPr>
              <w:tabs>
                <w:tab w:val="left" w:pos="1404"/>
              </w:tabs>
              <w:jc w:val="right"/>
            </w:pPr>
          </w:p>
        </w:tc>
        <w:tc>
          <w:tcPr>
            <w:tcW w:w="1417" w:type="dxa"/>
          </w:tcPr>
          <w:p w:rsidR="00503BF4" w:rsidRPr="00503BF4" w:rsidRDefault="00503BF4" w:rsidP="00503BF4">
            <w:pPr>
              <w:jc w:val="right"/>
            </w:pPr>
          </w:p>
        </w:tc>
        <w:tc>
          <w:tcPr>
            <w:tcW w:w="1701" w:type="dxa"/>
          </w:tcPr>
          <w:p w:rsidR="00503BF4" w:rsidRPr="00503BF4" w:rsidRDefault="00503BF4" w:rsidP="00503BF4">
            <w:pPr>
              <w:ind w:right="-6"/>
              <w:jc w:val="right"/>
            </w:pPr>
          </w:p>
        </w:tc>
        <w:tc>
          <w:tcPr>
            <w:tcW w:w="1559" w:type="dxa"/>
          </w:tcPr>
          <w:p w:rsidR="00503BF4" w:rsidRPr="00503BF4" w:rsidRDefault="00503BF4" w:rsidP="00503BF4">
            <w:pPr>
              <w:tabs>
                <w:tab w:val="left" w:pos="1350"/>
              </w:tabs>
              <w:jc w:val="right"/>
            </w:pPr>
          </w:p>
        </w:tc>
      </w:tr>
      <w:tr w:rsidR="00503BF4" w:rsidRPr="00503BF4" w:rsidTr="00287523">
        <w:tc>
          <w:tcPr>
            <w:tcW w:w="3227" w:type="dxa"/>
          </w:tcPr>
          <w:p w:rsidR="00503BF4" w:rsidRPr="00503BF4" w:rsidRDefault="00503BF4" w:rsidP="00503BF4">
            <w:pPr>
              <w:ind w:right="386"/>
            </w:pPr>
            <w:r w:rsidRPr="00503BF4">
              <w:t>Revenue Support Grant</w:t>
            </w:r>
          </w:p>
        </w:tc>
        <w:tc>
          <w:tcPr>
            <w:tcW w:w="1843" w:type="dxa"/>
          </w:tcPr>
          <w:p w:rsidR="00503BF4" w:rsidRPr="00503BF4" w:rsidRDefault="00236C9D" w:rsidP="00236C9D">
            <w:pPr>
              <w:tabs>
                <w:tab w:val="left" w:pos="1404"/>
              </w:tabs>
              <w:jc w:val="right"/>
            </w:pPr>
            <w:r>
              <w:t>1,458</w:t>
            </w:r>
          </w:p>
        </w:tc>
        <w:tc>
          <w:tcPr>
            <w:tcW w:w="1417" w:type="dxa"/>
          </w:tcPr>
          <w:p w:rsidR="00503BF4" w:rsidRPr="00503BF4" w:rsidRDefault="00236C9D" w:rsidP="00503BF4">
            <w:pPr>
              <w:jc w:val="right"/>
            </w:pPr>
            <w:r>
              <w:t>630</w:t>
            </w:r>
          </w:p>
        </w:tc>
        <w:tc>
          <w:tcPr>
            <w:tcW w:w="1701" w:type="dxa"/>
          </w:tcPr>
          <w:p w:rsidR="00503BF4" w:rsidRPr="00503BF4" w:rsidRDefault="00236C9D" w:rsidP="00503BF4">
            <w:pPr>
              <w:ind w:right="-6"/>
              <w:jc w:val="right"/>
            </w:pPr>
            <w:r>
              <w:t>-</w:t>
            </w:r>
          </w:p>
        </w:tc>
        <w:tc>
          <w:tcPr>
            <w:tcW w:w="1559" w:type="dxa"/>
          </w:tcPr>
          <w:p w:rsidR="00503BF4" w:rsidRPr="00503BF4" w:rsidRDefault="00236C9D" w:rsidP="00503BF4">
            <w:pPr>
              <w:tabs>
                <w:tab w:val="left" w:pos="1350"/>
              </w:tabs>
              <w:jc w:val="right"/>
            </w:pPr>
            <w:r>
              <w:t>-</w:t>
            </w:r>
          </w:p>
        </w:tc>
      </w:tr>
      <w:tr w:rsidR="00503BF4" w:rsidRPr="00503BF4" w:rsidTr="00287523">
        <w:tc>
          <w:tcPr>
            <w:tcW w:w="3227" w:type="dxa"/>
          </w:tcPr>
          <w:p w:rsidR="00503BF4" w:rsidRPr="00503BF4" w:rsidRDefault="00503BF4" w:rsidP="00503BF4">
            <w:pPr>
              <w:ind w:right="386"/>
            </w:pPr>
            <w:r w:rsidRPr="00503BF4">
              <w:t>Baseline Funding Level</w:t>
            </w:r>
          </w:p>
        </w:tc>
        <w:tc>
          <w:tcPr>
            <w:tcW w:w="1843" w:type="dxa"/>
          </w:tcPr>
          <w:p w:rsidR="00503BF4" w:rsidRPr="00503BF4" w:rsidRDefault="00236C9D" w:rsidP="00236C9D">
            <w:pPr>
              <w:tabs>
                <w:tab w:val="left" w:pos="1404"/>
              </w:tabs>
              <w:jc w:val="right"/>
            </w:pPr>
            <w:r>
              <w:t>5,846</w:t>
            </w:r>
          </w:p>
        </w:tc>
        <w:tc>
          <w:tcPr>
            <w:tcW w:w="1417" w:type="dxa"/>
          </w:tcPr>
          <w:p w:rsidR="00503BF4" w:rsidRPr="00503BF4" w:rsidRDefault="00236C9D" w:rsidP="00236C9D">
            <w:pPr>
              <w:jc w:val="right"/>
            </w:pPr>
            <w:r>
              <w:t>6,034</w:t>
            </w:r>
          </w:p>
        </w:tc>
        <w:tc>
          <w:tcPr>
            <w:tcW w:w="1701" w:type="dxa"/>
          </w:tcPr>
          <w:p w:rsidR="00503BF4" w:rsidRPr="00503BF4" w:rsidRDefault="00236C9D" w:rsidP="00503BF4">
            <w:pPr>
              <w:ind w:right="-6"/>
              <w:jc w:val="right"/>
            </w:pPr>
            <w:r>
              <w:t>6,249</w:t>
            </w:r>
          </w:p>
        </w:tc>
        <w:tc>
          <w:tcPr>
            <w:tcW w:w="1559" w:type="dxa"/>
          </w:tcPr>
          <w:p w:rsidR="00503BF4" w:rsidRPr="00503BF4" w:rsidRDefault="00236C9D" w:rsidP="00503BF4">
            <w:pPr>
              <w:tabs>
                <w:tab w:val="left" w:pos="1350"/>
              </w:tabs>
              <w:jc w:val="right"/>
            </w:pPr>
            <w:r>
              <w:t>6,375</w:t>
            </w:r>
          </w:p>
        </w:tc>
      </w:tr>
      <w:tr w:rsidR="00503BF4" w:rsidRPr="00503BF4" w:rsidTr="00287523">
        <w:tc>
          <w:tcPr>
            <w:tcW w:w="3227" w:type="dxa"/>
          </w:tcPr>
          <w:p w:rsidR="00503BF4" w:rsidRPr="00503BF4" w:rsidRDefault="00236C9D" w:rsidP="00503BF4">
            <w:pPr>
              <w:ind w:right="386"/>
            </w:pPr>
            <w:r>
              <w:t>Tariff adjustment</w:t>
            </w:r>
            <w:r w:rsidR="002E61E2">
              <w:t xml:space="preserve"> *</w:t>
            </w:r>
          </w:p>
        </w:tc>
        <w:tc>
          <w:tcPr>
            <w:tcW w:w="1843" w:type="dxa"/>
          </w:tcPr>
          <w:p w:rsidR="00503BF4" w:rsidRPr="00503BF4" w:rsidRDefault="00236C9D" w:rsidP="00503BF4">
            <w:pPr>
              <w:tabs>
                <w:tab w:val="left" w:pos="1404"/>
              </w:tabs>
              <w:jc w:val="right"/>
            </w:pPr>
            <w:r>
              <w:t>-</w:t>
            </w:r>
          </w:p>
        </w:tc>
        <w:tc>
          <w:tcPr>
            <w:tcW w:w="1417" w:type="dxa"/>
          </w:tcPr>
          <w:p w:rsidR="00503BF4" w:rsidRPr="00503BF4" w:rsidRDefault="00236C9D" w:rsidP="00503BF4">
            <w:pPr>
              <w:jc w:val="right"/>
            </w:pPr>
            <w:r>
              <w:t>-</w:t>
            </w:r>
          </w:p>
        </w:tc>
        <w:tc>
          <w:tcPr>
            <w:tcW w:w="1701" w:type="dxa"/>
          </w:tcPr>
          <w:p w:rsidR="00503BF4" w:rsidRPr="00503BF4" w:rsidRDefault="00236C9D" w:rsidP="00503BF4">
            <w:pPr>
              <w:ind w:right="-6"/>
              <w:jc w:val="right"/>
            </w:pPr>
            <w:r>
              <w:t>(295)</w:t>
            </w:r>
          </w:p>
        </w:tc>
        <w:tc>
          <w:tcPr>
            <w:tcW w:w="1559" w:type="dxa"/>
          </w:tcPr>
          <w:p w:rsidR="00503BF4" w:rsidRPr="00503BF4" w:rsidRDefault="00236C9D" w:rsidP="00503BF4">
            <w:pPr>
              <w:tabs>
                <w:tab w:val="left" w:pos="1350"/>
              </w:tabs>
              <w:jc w:val="right"/>
            </w:pPr>
            <w:r>
              <w:t>-</w:t>
            </w:r>
          </w:p>
        </w:tc>
      </w:tr>
      <w:tr w:rsidR="00503BF4" w:rsidRPr="00503BF4" w:rsidTr="00287523">
        <w:tc>
          <w:tcPr>
            <w:tcW w:w="3227" w:type="dxa"/>
          </w:tcPr>
          <w:p w:rsidR="00503BF4" w:rsidRPr="00503BF4" w:rsidRDefault="00503BF4" w:rsidP="00503BF4">
            <w:pPr>
              <w:ind w:right="386"/>
              <w:rPr>
                <w:b/>
              </w:rPr>
            </w:pPr>
            <w:r w:rsidRPr="00503BF4">
              <w:rPr>
                <w:b/>
              </w:rPr>
              <w:t>Reduced</w:t>
            </w:r>
            <w:r w:rsidR="00687CAB">
              <w:rPr>
                <w:b/>
              </w:rPr>
              <w:t xml:space="preserve">/ (Increased) </w:t>
            </w:r>
            <w:r w:rsidRPr="00503BF4">
              <w:rPr>
                <w:b/>
              </w:rPr>
              <w:t xml:space="preserve"> SFA</w:t>
            </w:r>
            <w:r w:rsidR="00687CAB">
              <w:rPr>
                <w:b/>
              </w:rPr>
              <w:t xml:space="preserve"> on previous year</w:t>
            </w:r>
          </w:p>
        </w:tc>
        <w:tc>
          <w:tcPr>
            <w:tcW w:w="1843" w:type="dxa"/>
          </w:tcPr>
          <w:p w:rsidR="00503BF4" w:rsidRPr="00503BF4" w:rsidRDefault="00236C9D" w:rsidP="00503BF4">
            <w:pPr>
              <w:tabs>
                <w:tab w:val="left" w:pos="1404"/>
              </w:tabs>
              <w:jc w:val="right"/>
              <w:rPr>
                <w:b/>
              </w:rPr>
            </w:pPr>
            <w:r>
              <w:rPr>
                <w:b/>
              </w:rPr>
              <w:t>14.3</w:t>
            </w:r>
          </w:p>
        </w:tc>
        <w:tc>
          <w:tcPr>
            <w:tcW w:w="1417" w:type="dxa"/>
          </w:tcPr>
          <w:p w:rsidR="00503BF4" w:rsidRPr="00503BF4" w:rsidRDefault="00236C9D" w:rsidP="00503BF4">
            <w:pPr>
              <w:jc w:val="right"/>
              <w:rPr>
                <w:b/>
              </w:rPr>
            </w:pPr>
            <w:r>
              <w:rPr>
                <w:b/>
              </w:rPr>
              <w:t>8.8</w:t>
            </w:r>
          </w:p>
        </w:tc>
        <w:tc>
          <w:tcPr>
            <w:tcW w:w="1701" w:type="dxa"/>
          </w:tcPr>
          <w:p w:rsidR="00503BF4" w:rsidRPr="00503BF4" w:rsidRDefault="00236C9D" w:rsidP="00503BF4">
            <w:pPr>
              <w:ind w:right="-6"/>
              <w:jc w:val="right"/>
              <w:rPr>
                <w:b/>
              </w:rPr>
            </w:pPr>
            <w:r>
              <w:rPr>
                <w:b/>
              </w:rPr>
              <w:t>10.7</w:t>
            </w:r>
          </w:p>
        </w:tc>
        <w:tc>
          <w:tcPr>
            <w:tcW w:w="1559" w:type="dxa"/>
          </w:tcPr>
          <w:p w:rsidR="00503BF4" w:rsidRPr="00503BF4" w:rsidRDefault="00236C9D" w:rsidP="00687CAB">
            <w:pPr>
              <w:tabs>
                <w:tab w:val="left" w:pos="1350"/>
              </w:tabs>
              <w:jc w:val="right"/>
              <w:rPr>
                <w:b/>
              </w:rPr>
            </w:pPr>
            <w:r>
              <w:rPr>
                <w:b/>
              </w:rPr>
              <w:t>(7.</w:t>
            </w:r>
            <w:r w:rsidR="00687CAB">
              <w:rPr>
                <w:b/>
              </w:rPr>
              <w:t>07</w:t>
            </w:r>
            <w:r>
              <w:rPr>
                <w:b/>
              </w:rPr>
              <w:t>)</w:t>
            </w:r>
          </w:p>
        </w:tc>
      </w:tr>
      <w:tr w:rsidR="00503BF4" w:rsidRPr="00503BF4" w:rsidTr="00287523">
        <w:tc>
          <w:tcPr>
            <w:tcW w:w="3227" w:type="dxa"/>
          </w:tcPr>
          <w:p w:rsidR="00503BF4" w:rsidRPr="00503BF4" w:rsidRDefault="00503BF4" w:rsidP="00503BF4">
            <w:pPr>
              <w:ind w:right="386"/>
            </w:pPr>
          </w:p>
        </w:tc>
        <w:tc>
          <w:tcPr>
            <w:tcW w:w="1843" w:type="dxa"/>
          </w:tcPr>
          <w:p w:rsidR="00503BF4" w:rsidRPr="00503BF4" w:rsidRDefault="00503BF4" w:rsidP="00503BF4">
            <w:pPr>
              <w:tabs>
                <w:tab w:val="left" w:pos="1404"/>
              </w:tabs>
              <w:jc w:val="right"/>
            </w:pPr>
          </w:p>
        </w:tc>
        <w:tc>
          <w:tcPr>
            <w:tcW w:w="1417" w:type="dxa"/>
          </w:tcPr>
          <w:p w:rsidR="00503BF4" w:rsidRPr="00503BF4" w:rsidRDefault="00503BF4" w:rsidP="00503BF4">
            <w:pPr>
              <w:jc w:val="right"/>
            </w:pPr>
          </w:p>
        </w:tc>
        <w:tc>
          <w:tcPr>
            <w:tcW w:w="1701" w:type="dxa"/>
          </w:tcPr>
          <w:p w:rsidR="00503BF4" w:rsidRPr="00503BF4" w:rsidRDefault="00503BF4" w:rsidP="00503BF4">
            <w:pPr>
              <w:ind w:right="-6"/>
              <w:jc w:val="right"/>
            </w:pPr>
          </w:p>
        </w:tc>
        <w:tc>
          <w:tcPr>
            <w:tcW w:w="1559" w:type="dxa"/>
          </w:tcPr>
          <w:p w:rsidR="00503BF4" w:rsidRPr="00503BF4" w:rsidRDefault="00503BF4" w:rsidP="00503BF4">
            <w:pPr>
              <w:tabs>
                <w:tab w:val="left" w:pos="1350"/>
              </w:tabs>
              <w:jc w:val="right"/>
            </w:pPr>
          </w:p>
        </w:tc>
      </w:tr>
    </w:tbl>
    <w:p w:rsidR="00503BF4" w:rsidRDefault="00503BF4" w:rsidP="00503BF4">
      <w:pPr>
        <w:ind w:left="709" w:hanging="142"/>
        <w:rPr>
          <w:rFonts w:cs="Arial"/>
        </w:rPr>
      </w:pPr>
    </w:p>
    <w:p w:rsidR="00236C9D" w:rsidRDefault="00236C9D" w:rsidP="00236C9D">
      <w:pPr>
        <w:ind w:left="927"/>
        <w:rPr>
          <w:rFonts w:cs="Arial"/>
        </w:rPr>
      </w:pPr>
      <w:r>
        <w:rPr>
          <w:rFonts w:cs="Arial"/>
        </w:rPr>
        <w:t xml:space="preserve">* </w:t>
      </w:r>
      <w:r w:rsidR="002E61E2">
        <w:rPr>
          <w:rFonts w:cs="Arial"/>
        </w:rPr>
        <w:t xml:space="preserve">    Where baseline need is less than </w:t>
      </w:r>
      <w:r w:rsidR="00D03298">
        <w:rPr>
          <w:rFonts w:cs="Arial"/>
        </w:rPr>
        <w:t xml:space="preserve">the </w:t>
      </w:r>
      <w:r w:rsidR="002E61E2">
        <w:rPr>
          <w:rFonts w:cs="Arial"/>
        </w:rPr>
        <w:t xml:space="preserve">Settlement Funding Assessment a reduction is made </w:t>
      </w:r>
      <w:r w:rsidR="00D03298">
        <w:rPr>
          <w:rFonts w:cs="Arial"/>
        </w:rPr>
        <w:t>to</w:t>
      </w:r>
      <w:r w:rsidR="002E61E2">
        <w:rPr>
          <w:rFonts w:cs="Arial"/>
        </w:rPr>
        <w:t xml:space="preserve"> funding</w:t>
      </w:r>
      <w:r w:rsidR="00D03298">
        <w:rPr>
          <w:rFonts w:cs="Arial"/>
        </w:rPr>
        <w:t xml:space="preserve">.  For </w:t>
      </w:r>
      <w:r w:rsidR="002E61E2">
        <w:rPr>
          <w:rFonts w:cs="Arial"/>
        </w:rPr>
        <w:t xml:space="preserve"> authorit</w:t>
      </w:r>
      <w:r w:rsidR="006A4C22">
        <w:rPr>
          <w:rFonts w:cs="Arial"/>
        </w:rPr>
        <w:t>ies</w:t>
      </w:r>
      <w:r w:rsidR="002E61E2">
        <w:rPr>
          <w:rFonts w:cs="Arial"/>
        </w:rPr>
        <w:t xml:space="preserve"> not in receipt of RSG the reduction is made </w:t>
      </w:r>
      <w:r w:rsidR="006A4C22">
        <w:rPr>
          <w:rFonts w:cs="Arial"/>
        </w:rPr>
        <w:t>to</w:t>
      </w:r>
      <w:r w:rsidR="002E61E2">
        <w:rPr>
          <w:rFonts w:cs="Arial"/>
        </w:rPr>
        <w:t xml:space="preserve"> baseline funding. It is not certain whether this adjustment will continue going forward.</w:t>
      </w:r>
      <w:r>
        <w:rPr>
          <w:rFonts w:cs="Arial"/>
        </w:rPr>
        <w:t xml:space="preserve"> </w:t>
      </w:r>
    </w:p>
    <w:p w:rsidR="00236C9D" w:rsidRPr="00503BF4" w:rsidRDefault="00236C9D" w:rsidP="00503BF4">
      <w:pPr>
        <w:ind w:left="709" w:hanging="142"/>
        <w:rPr>
          <w:rFonts w:cs="Arial"/>
        </w:rPr>
      </w:pPr>
    </w:p>
    <w:p w:rsidR="00D27976" w:rsidRDefault="00D27976" w:rsidP="00F45D14">
      <w:pPr>
        <w:pStyle w:val="Heading1"/>
      </w:pPr>
      <w:r w:rsidRPr="0070180F">
        <w:t>Council Tax Freeze Grant for 201</w:t>
      </w:r>
      <w:r w:rsidR="0070180F">
        <w:t>7</w:t>
      </w:r>
      <w:r w:rsidRPr="0070180F">
        <w:t>/1</w:t>
      </w:r>
      <w:r w:rsidR="0070180F">
        <w:t>8</w:t>
      </w:r>
      <w:r w:rsidRPr="0070180F">
        <w:t xml:space="preserve"> and Imp</w:t>
      </w:r>
      <w:r w:rsidRPr="006D057E">
        <w:t>act of Referendum Level</w:t>
      </w:r>
    </w:p>
    <w:p w:rsidR="00DA3B0F" w:rsidRPr="00287523" w:rsidRDefault="006C1193" w:rsidP="00F45D14">
      <w:pPr>
        <w:pStyle w:val="ListParagraph"/>
      </w:pPr>
      <w:r>
        <w:t xml:space="preserve">As last year </w:t>
      </w:r>
      <w:r w:rsidR="00F34D9A" w:rsidRPr="00F34D9A">
        <w:t xml:space="preserve">there is no </w:t>
      </w:r>
      <w:r w:rsidR="00D5221F">
        <w:t xml:space="preserve">Council Tax </w:t>
      </w:r>
      <w:r w:rsidR="007B4774">
        <w:t>F</w:t>
      </w:r>
      <w:r w:rsidR="00F34D9A" w:rsidRPr="00F34D9A">
        <w:t xml:space="preserve">reeze </w:t>
      </w:r>
      <w:r w:rsidR="007B4774">
        <w:t>G</w:t>
      </w:r>
      <w:r w:rsidR="00F34D9A" w:rsidRPr="00F34D9A">
        <w:t>rant on offer for 201</w:t>
      </w:r>
      <w:r>
        <w:t>7</w:t>
      </w:r>
      <w:r w:rsidR="00F34D9A" w:rsidRPr="00F34D9A">
        <w:t>-1</w:t>
      </w:r>
      <w:r>
        <w:t>8</w:t>
      </w:r>
      <w:r w:rsidR="00F34D9A">
        <w:t>.</w:t>
      </w:r>
    </w:p>
    <w:p w:rsidR="00287523" w:rsidRDefault="00287523" w:rsidP="00287523"/>
    <w:p w:rsidR="009902B7" w:rsidRDefault="00F34D9A" w:rsidP="00F45D14">
      <w:pPr>
        <w:pStyle w:val="ListParagraph"/>
      </w:pPr>
      <w:r>
        <w:t xml:space="preserve">The referendum level </w:t>
      </w:r>
      <w:r w:rsidR="00F24D46">
        <w:t>for 201</w:t>
      </w:r>
      <w:r w:rsidR="006C1193">
        <w:t>7</w:t>
      </w:r>
      <w:r w:rsidR="00F24D46">
        <w:t>/1</w:t>
      </w:r>
      <w:r w:rsidR="006C1193">
        <w:t>8</w:t>
      </w:r>
      <w:r w:rsidR="00F24D46">
        <w:t xml:space="preserve"> </w:t>
      </w:r>
      <w:r>
        <w:t xml:space="preserve">has been </w:t>
      </w:r>
      <w:r w:rsidRPr="00030814">
        <w:t xml:space="preserve">confirmed as </w:t>
      </w:r>
      <w:r w:rsidR="003B030B" w:rsidRPr="00030814">
        <w:t>2%</w:t>
      </w:r>
      <w:r w:rsidRPr="00030814">
        <w:t xml:space="preserve"> or </w:t>
      </w:r>
      <w:r w:rsidR="004120D7">
        <w:t xml:space="preserve">above </w:t>
      </w:r>
      <w:r w:rsidR="006A4C22">
        <w:t>f</w:t>
      </w:r>
      <w:r w:rsidR="004120D7">
        <w:t>or district authorities</w:t>
      </w:r>
      <w:r w:rsidRPr="00030814">
        <w:t xml:space="preserve">. The City </w:t>
      </w:r>
      <w:r w:rsidR="00D8226C" w:rsidRPr="00030814">
        <w:t>Council</w:t>
      </w:r>
      <w:r w:rsidRPr="00030814">
        <w:t>’s</w:t>
      </w:r>
      <w:r w:rsidR="00D8226C" w:rsidRPr="00030814">
        <w:t xml:space="preserve"> </w:t>
      </w:r>
      <w:r w:rsidRPr="00030814">
        <w:t xml:space="preserve">recommended </w:t>
      </w:r>
      <w:r w:rsidR="004170DA" w:rsidRPr="00030814">
        <w:t>C</w:t>
      </w:r>
      <w:r w:rsidR="00D8226C" w:rsidRPr="00030814">
        <w:t xml:space="preserve">ouncil </w:t>
      </w:r>
      <w:r w:rsidR="004170DA" w:rsidRPr="00030814">
        <w:t>T</w:t>
      </w:r>
      <w:r w:rsidR="00D8226C" w:rsidRPr="00030814">
        <w:t xml:space="preserve">ax </w:t>
      </w:r>
      <w:r w:rsidRPr="00030814">
        <w:t>increase of</w:t>
      </w:r>
      <w:r w:rsidR="00D8226C" w:rsidRPr="00030814">
        <w:t xml:space="preserve"> 1.99% provides the optimum</w:t>
      </w:r>
      <w:r w:rsidR="00D8226C">
        <w:t xml:space="preserve"> level of financial benefit without the expense of seeking a referendum. </w:t>
      </w:r>
      <w:r w:rsidR="004D1A29">
        <w:t>C</w:t>
      </w:r>
      <w:r w:rsidR="00030814">
        <w:t xml:space="preserve">ouncil </w:t>
      </w:r>
      <w:r w:rsidR="004D1A29">
        <w:t>T</w:t>
      </w:r>
      <w:r w:rsidR="00030814">
        <w:t xml:space="preserve">ax rises </w:t>
      </w:r>
      <w:r w:rsidR="004D1A29">
        <w:t>from 201</w:t>
      </w:r>
      <w:r w:rsidR="006C1193">
        <w:t>8</w:t>
      </w:r>
      <w:r w:rsidR="004D1A29">
        <w:t>/1</w:t>
      </w:r>
      <w:r w:rsidR="006C1193">
        <w:t>9</w:t>
      </w:r>
      <w:r w:rsidR="004D1A29">
        <w:t xml:space="preserve"> </w:t>
      </w:r>
      <w:r w:rsidR="006C1193">
        <w:t>onwards ha</w:t>
      </w:r>
      <w:r w:rsidR="000907D2">
        <w:t>ve</w:t>
      </w:r>
      <w:r w:rsidR="006C1193">
        <w:t xml:space="preserve"> been assumed as </w:t>
      </w:r>
      <w:r w:rsidR="00030814">
        <w:t>1.</w:t>
      </w:r>
      <w:r w:rsidR="006C1193">
        <w:t>99</w:t>
      </w:r>
      <w:r w:rsidR="00030814">
        <w:t>% p</w:t>
      </w:r>
      <w:r w:rsidR="00F24D46">
        <w:t>er annum</w:t>
      </w:r>
      <w:r w:rsidR="002B1E54">
        <w:t>,</w:t>
      </w:r>
      <w:r w:rsidR="00287523">
        <w:t xml:space="preserve"> </w:t>
      </w:r>
      <w:r w:rsidR="00504613">
        <w:t xml:space="preserve">to reflect </w:t>
      </w:r>
      <w:r w:rsidR="00287523">
        <w:t xml:space="preserve">the average amount assumed by the Government over the next 4 years </w:t>
      </w:r>
      <w:r w:rsidR="00504613">
        <w:t>in</w:t>
      </w:r>
      <w:r w:rsidR="00287523">
        <w:t xml:space="preserve"> calculati</w:t>
      </w:r>
      <w:r w:rsidR="00504613">
        <w:t>ng</w:t>
      </w:r>
      <w:r w:rsidR="00287523">
        <w:t xml:space="preserve"> the authorities Revenue Support Grant.</w:t>
      </w:r>
      <w:r w:rsidR="00D8226C">
        <w:t xml:space="preserve"> </w:t>
      </w:r>
    </w:p>
    <w:p w:rsidR="00D8226C" w:rsidRDefault="00D8226C" w:rsidP="00D8226C">
      <w:pPr>
        <w:pStyle w:val="Default"/>
        <w:ind w:left="720" w:hanging="720"/>
      </w:pPr>
    </w:p>
    <w:p w:rsidR="00F4674C" w:rsidRDefault="00F4674C" w:rsidP="00F45D14">
      <w:pPr>
        <w:pStyle w:val="Heading1"/>
      </w:pPr>
      <w:r w:rsidRPr="00F4674C">
        <w:t>Revenue Support Grant</w:t>
      </w:r>
    </w:p>
    <w:p w:rsidR="00D63F7D" w:rsidRDefault="0070104D" w:rsidP="00F45D14">
      <w:pPr>
        <w:pStyle w:val="ListParagraph"/>
      </w:pPr>
      <w:r>
        <w:t>T</w:t>
      </w:r>
      <w:r w:rsidR="00F34D9A">
        <w:t xml:space="preserve">he methodology for the calculation of Revenue Support Grant </w:t>
      </w:r>
      <w:r w:rsidR="004605C4">
        <w:t>incorporates</w:t>
      </w:r>
      <w:r>
        <w:t xml:space="preserve"> </w:t>
      </w:r>
      <w:r w:rsidR="001012FF">
        <w:t xml:space="preserve">projections of future council tax </w:t>
      </w:r>
      <w:r w:rsidR="005F1EC7">
        <w:t>increases</w:t>
      </w:r>
      <w:r w:rsidR="001012FF">
        <w:t xml:space="preserve"> and growth in </w:t>
      </w:r>
      <w:r w:rsidR="005F1EC7">
        <w:t xml:space="preserve">individual </w:t>
      </w:r>
      <w:r w:rsidR="005E7437">
        <w:t>authorit</w:t>
      </w:r>
      <w:r w:rsidR="002B1E54">
        <w:t>ie</w:t>
      </w:r>
      <w:r w:rsidR="005E7437">
        <w:t>s</w:t>
      </w:r>
      <w:r w:rsidR="002B1E54">
        <w:t>’</w:t>
      </w:r>
      <w:r w:rsidR="001012FF">
        <w:t xml:space="preserve"> </w:t>
      </w:r>
      <w:r w:rsidR="005F1EC7">
        <w:t>C</w:t>
      </w:r>
      <w:r w:rsidR="001012FF">
        <w:t xml:space="preserve">ouncil </w:t>
      </w:r>
      <w:r w:rsidR="005F1EC7">
        <w:t>T</w:t>
      </w:r>
      <w:r w:rsidR="001012FF">
        <w:t xml:space="preserve">ax </w:t>
      </w:r>
      <w:r w:rsidR="005F1EC7">
        <w:t>B</w:t>
      </w:r>
      <w:r w:rsidR="001012FF">
        <w:t>ase</w:t>
      </w:r>
      <w:r w:rsidR="005F1EC7">
        <w:t>s</w:t>
      </w:r>
      <w:r w:rsidR="001012FF">
        <w:t xml:space="preserve">. </w:t>
      </w:r>
    </w:p>
    <w:p w:rsidR="00D63F7D" w:rsidRDefault="00D63F7D" w:rsidP="00917771">
      <w:pPr>
        <w:pStyle w:val="Default"/>
        <w:ind w:left="709" w:hanging="709"/>
      </w:pPr>
    </w:p>
    <w:p w:rsidR="00705CB0" w:rsidRDefault="00705CB0" w:rsidP="00F45D14">
      <w:pPr>
        <w:pStyle w:val="ListParagraph"/>
      </w:pPr>
      <w:r>
        <w:t xml:space="preserve">Government grant for Homeless Prevention (£939k for 2015/16) and </w:t>
      </w:r>
      <w:r w:rsidR="00753A65">
        <w:t xml:space="preserve">the </w:t>
      </w:r>
      <w:r>
        <w:t>2011 Council Tax Freeze Grant (£306k for 2015/16) are now subsumed into RSG and Business Rates. The element previously paid through RSG (£542k and £178k respectively), will taper away</w:t>
      </w:r>
      <w:r w:rsidR="002B1E54">
        <w:t>,</w:t>
      </w:r>
      <w:r>
        <w:t xml:space="preserve"> disappearing entirely in 2019/20. </w:t>
      </w:r>
    </w:p>
    <w:p w:rsidR="00504613" w:rsidRDefault="00504613" w:rsidP="00F45D14">
      <w:pPr>
        <w:ind w:left="360" w:hanging="360"/>
      </w:pPr>
    </w:p>
    <w:p w:rsidR="00F4674C" w:rsidRDefault="00A04150" w:rsidP="00F45D14">
      <w:pPr>
        <w:pStyle w:val="ListParagraph"/>
      </w:pPr>
      <w:r>
        <w:lastRenderedPageBreak/>
        <w:t xml:space="preserve">The changes to the Consultation Budget </w:t>
      </w:r>
      <w:r w:rsidR="000967E9">
        <w:t xml:space="preserve">as a result of the Provisional Settlement </w:t>
      </w:r>
      <w:r>
        <w:t xml:space="preserve">are included in Table </w:t>
      </w:r>
      <w:r w:rsidR="00B314C1">
        <w:t>2</w:t>
      </w:r>
      <w:r>
        <w:t xml:space="preserve"> </w:t>
      </w:r>
      <w:r w:rsidR="004605C4">
        <w:t>below:</w:t>
      </w:r>
    </w:p>
    <w:p w:rsidR="00E517C2" w:rsidRDefault="00E517C2" w:rsidP="006C1193">
      <w:pPr>
        <w:ind w:left="720" w:hanging="72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559"/>
        <w:gridCol w:w="1560"/>
        <w:gridCol w:w="1470"/>
        <w:gridCol w:w="1506"/>
      </w:tblGrid>
      <w:tr w:rsidR="00A04150" w:rsidRPr="00440B9C" w:rsidTr="002607A3">
        <w:tc>
          <w:tcPr>
            <w:tcW w:w="9213" w:type="dxa"/>
            <w:gridSpan w:val="5"/>
            <w:shd w:val="clear" w:color="auto" w:fill="D9D9D9"/>
          </w:tcPr>
          <w:p w:rsidR="00A04150" w:rsidRPr="00236C9D" w:rsidRDefault="00DB5D5E" w:rsidP="00895AE4">
            <w:pPr>
              <w:spacing w:after="120"/>
              <w:ind w:right="386"/>
              <w:rPr>
                <w:b/>
              </w:rPr>
            </w:pPr>
            <w:r w:rsidRPr="00236C9D">
              <w:rPr>
                <w:b/>
              </w:rPr>
              <w:t xml:space="preserve">Table </w:t>
            </w:r>
            <w:r w:rsidR="00895AE4" w:rsidRPr="00236C9D">
              <w:rPr>
                <w:b/>
              </w:rPr>
              <w:t>2</w:t>
            </w:r>
            <w:r w:rsidR="00A04150" w:rsidRPr="00236C9D">
              <w:rPr>
                <w:b/>
              </w:rPr>
              <w:t xml:space="preserve"> Change In Revenue Support Grant since Consultation Budget</w:t>
            </w:r>
          </w:p>
        </w:tc>
      </w:tr>
      <w:tr w:rsidR="00236C9D" w:rsidRPr="00440B9C" w:rsidTr="002607A3">
        <w:tc>
          <w:tcPr>
            <w:tcW w:w="3118" w:type="dxa"/>
            <w:shd w:val="clear" w:color="auto" w:fill="D9D9D9"/>
          </w:tcPr>
          <w:p w:rsidR="00236C9D" w:rsidRPr="00236C9D" w:rsidRDefault="00236C9D" w:rsidP="00945364">
            <w:pPr>
              <w:spacing w:after="120"/>
              <w:ind w:right="386"/>
              <w:jc w:val="both"/>
              <w:rPr>
                <w:b/>
              </w:rPr>
            </w:pPr>
          </w:p>
        </w:tc>
        <w:tc>
          <w:tcPr>
            <w:tcW w:w="1559" w:type="dxa"/>
            <w:shd w:val="clear" w:color="auto" w:fill="D9D9D9"/>
          </w:tcPr>
          <w:p w:rsidR="00236C9D" w:rsidRPr="00236C9D" w:rsidRDefault="00236C9D" w:rsidP="009C6029">
            <w:pPr>
              <w:spacing w:after="120"/>
              <w:ind w:right="386"/>
              <w:jc w:val="center"/>
              <w:rPr>
                <w:b/>
              </w:rPr>
            </w:pPr>
            <w:r w:rsidRPr="00236C9D">
              <w:rPr>
                <w:b/>
              </w:rPr>
              <w:t>2017/18</w:t>
            </w:r>
          </w:p>
          <w:p w:rsidR="00236C9D" w:rsidRPr="00236C9D" w:rsidRDefault="00236C9D" w:rsidP="009C6029">
            <w:pPr>
              <w:spacing w:after="120"/>
              <w:ind w:right="386"/>
              <w:jc w:val="center"/>
              <w:rPr>
                <w:b/>
              </w:rPr>
            </w:pPr>
          </w:p>
        </w:tc>
        <w:tc>
          <w:tcPr>
            <w:tcW w:w="1560" w:type="dxa"/>
            <w:shd w:val="clear" w:color="auto" w:fill="D9D9D9"/>
          </w:tcPr>
          <w:p w:rsidR="00236C9D" w:rsidRPr="00236C9D" w:rsidRDefault="00236C9D" w:rsidP="005A5B60">
            <w:pPr>
              <w:spacing w:after="120"/>
              <w:ind w:right="386"/>
              <w:jc w:val="center"/>
              <w:rPr>
                <w:b/>
              </w:rPr>
            </w:pPr>
            <w:r w:rsidRPr="00236C9D">
              <w:rPr>
                <w:b/>
              </w:rPr>
              <w:t xml:space="preserve">2018/19 </w:t>
            </w:r>
          </w:p>
          <w:p w:rsidR="00236C9D" w:rsidRPr="00236C9D" w:rsidRDefault="00236C9D" w:rsidP="005A5B60">
            <w:pPr>
              <w:spacing w:after="120"/>
              <w:ind w:right="386"/>
              <w:jc w:val="center"/>
              <w:rPr>
                <w:b/>
              </w:rPr>
            </w:pPr>
            <w:r w:rsidRPr="00236C9D">
              <w:rPr>
                <w:b/>
              </w:rPr>
              <w:t>Est</w:t>
            </w:r>
          </w:p>
        </w:tc>
        <w:tc>
          <w:tcPr>
            <w:tcW w:w="1470" w:type="dxa"/>
            <w:shd w:val="clear" w:color="auto" w:fill="D9D9D9"/>
          </w:tcPr>
          <w:p w:rsidR="00236C9D" w:rsidRPr="00236C9D" w:rsidRDefault="00236C9D" w:rsidP="005A5B60">
            <w:pPr>
              <w:spacing w:after="120"/>
              <w:ind w:right="386"/>
              <w:jc w:val="center"/>
              <w:rPr>
                <w:b/>
              </w:rPr>
            </w:pPr>
            <w:r w:rsidRPr="00236C9D">
              <w:rPr>
                <w:b/>
              </w:rPr>
              <w:t xml:space="preserve">2019/20 </w:t>
            </w:r>
          </w:p>
          <w:p w:rsidR="00236C9D" w:rsidRPr="00236C9D" w:rsidRDefault="00236C9D" w:rsidP="005A5B60">
            <w:pPr>
              <w:spacing w:after="120"/>
              <w:ind w:right="386"/>
              <w:jc w:val="center"/>
              <w:rPr>
                <w:b/>
              </w:rPr>
            </w:pPr>
            <w:r w:rsidRPr="00236C9D">
              <w:rPr>
                <w:b/>
              </w:rPr>
              <w:t>Est</w:t>
            </w:r>
          </w:p>
        </w:tc>
        <w:tc>
          <w:tcPr>
            <w:tcW w:w="1506" w:type="dxa"/>
            <w:shd w:val="clear" w:color="auto" w:fill="D9D9D9"/>
          </w:tcPr>
          <w:p w:rsidR="00236C9D" w:rsidRPr="00236C9D" w:rsidRDefault="00236C9D" w:rsidP="00945364">
            <w:pPr>
              <w:spacing w:after="120"/>
              <w:ind w:right="386"/>
              <w:jc w:val="center"/>
              <w:rPr>
                <w:b/>
              </w:rPr>
            </w:pPr>
            <w:r w:rsidRPr="00236C9D">
              <w:rPr>
                <w:b/>
              </w:rPr>
              <w:t>2020/21</w:t>
            </w:r>
          </w:p>
          <w:p w:rsidR="00236C9D" w:rsidRPr="00236C9D" w:rsidRDefault="00236C9D" w:rsidP="00945364">
            <w:pPr>
              <w:spacing w:after="120"/>
              <w:ind w:right="386"/>
              <w:jc w:val="center"/>
              <w:rPr>
                <w:b/>
              </w:rPr>
            </w:pPr>
            <w:r w:rsidRPr="00236C9D">
              <w:rPr>
                <w:b/>
              </w:rPr>
              <w:t>Est</w:t>
            </w:r>
          </w:p>
        </w:tc>
      </w:tr>
      <w:tr w:rsidR="00236C9D" w:rsidRPr="00440B9C" w:rsidTr="002607A3">
        <w:tc>
          <w:tcPr>
            <w:tcW w:w="3118" w:type="dxa"/>
            <w:shd w:val="clear" w:color="auto" w:fill="D9D9D9"/>
          </w:tcPr>
          <w:p w:rsidR="00236C9D" w:rsidRPr="00236C9D" w:rsidRDefault="00236C9D" w:rsidP="00945364">
            <w:pPr>
              <w:spacing w:after="120"/>
              <w:ind w:right="386"/>
              <w:jc w:val="both"/>
              <w:rPr>
                <w:b/>
              </w:rPr>
            </w:pPr>
          </w:p>
        </w:tc>
        <w:tc>
          <w:tcPr>
            <w:tcW w:w="1559" w:type="dxa"/>
            <w:shd w:val="clear" w:color="auto" w:fill="D9D9D9"/>
          </w:tcPr>
          <w:p w:rsidR="00236C9D" w:rsidRPr="00236C9D" w:rsidRDefault="00236C9D" w:rsidP="00945364">
            <w:pPr>
              <w:spacing w:after="120"/>
              <w:ind w:right="386"/>
              <w:jc w:val="center"/>
              <w:rPr>
                <w:b/>
              </w:rPr>
            </w:pPr>
            <w:r w:rsidRPr="00236C9D">
              <w:rPr>
                <w:b/>
              </w:rPr>
              <w:t>£000’s</w:t>
            </w:r>
          </w:p>
        </w:tc>
        <w:tc>
          <w:tcPr>
            <w:tcW w:w="1560" w:type="dxa"/>
            <w:shd w:val="clear" w:color="auto" w:fill="D9D9D9"/>
          </w:tcPr>
          <w:p w:rsidR="00236C9D" w:rsidRPr="00236C9D" w:rsidRDefault="00236C9D" w:rsidP="00945364">
            <w:pPr>
              <w:spacing w:after="120"/>
              <w:ind w:right="386"/>
              <w:jc w:val="center"/>
              <w:rPr>
                <w:b/>
              </w:rPr>
            </w:pPr>
            <w:r w:rsidRPr="00236C9D">
              <w:rPr>
                <w:b/>
              </w:rPr>
              <w:t>£000’s</w:t>
            </w:r>
          </w:p>
        </w:tc>
        <w:tc>
          <w:tcPr>
            <w:tcW w:w="1470" w:type="dxa"/>
            <w:shd w:val="clear" w:color="auto" w:fill="D9D9D9"/>
          </w:tcPr>
          <w:p w:rsidR="00236C9D" w:rsidRPr="00236C9D" w:rsidRDefault="00236C9D" w:rsidP="00945364">
            <w:pPr>
              <w:spacing w:after="120"/>
              <w:ind w:right="386"/>
              <w:jc w:val="center"/>
              <w:rPr>
                <w:b/>
              </w:rPr>
            </w:pPr>
            <w:r w:rsidRPr="00236C9D">
              <w:rPr>
                <w:b/>
              </w:rPr>
              <w:t>£000’s</w:t>
            </w:r>
          </w:p>
        </w:tc>
        <w:tc>
          <w:tcPr>
            <w:tcW w:w="1506" w:type="dxa"/>
            <w:shd w:val="clear" w:color="auto" w:fill="D9D9D9"/>
          </w:tcPr>
          <w:p w:rsidR="00236C9D" w:rsidRPr="00236C9D" w:rsidRDefault="00236C9D" w:rsidP="00945364">
            <w:pPr>
              <w:spacing w:after="120"/>
              <w:ind w:right="386"/>
              <w:jc w:val="center"/>
              <w:rPr>
                <w:b/>
              </w:rPr>
            </w:pPr>
            <w:r w:rsidRPr="00236C9D">
              <w:rPr>
                <w:b/>
              </w:rPr>
              <w:t>£000’s</w:t>
            </w:r>
          </w:p>
        </w:tc>
      </w:tr>
      <w:tr w:rsidR="00236C9D" w:rsidRPr="00440B9C" w:rsidTr="002607A3">
        <w:tc>
          <w:tcPr>
            <w:tcW w:w="3118" w:type="dxa"/>
            <w:shd w:val="clear" w:color="auto" w:fill="auto"/>
          </w:tcPr>
          <w:p w:rsidR="00236C9D" w:rsidRPr="00236C9D" w:rsidRDefault="00236C9D" w:rsidP="00945364">
            <w:pPr>
              <w:spacing w:after="120"/>
              <w:ind w:right="386"/>
              <w:jc w:val="both"/>
            </w:pPr>
            <w:r w:rsidRPr="00236C9D">
              <w:t>Consultation Budget</w:t>
            </w:r>
          </w:p>
        </w:tc>
        <w:tc>
          <w:tcPr>
            <w:tcW w:w="1559" w:type="dxa"/>
            <w:shd w:val="clear" w:color="auto" w:fill="auto"/>
          </w:tcPr>
          <w:p w:rsidR="00236C9D" w:rsidRPr="00236C9D" w:rsidRDefault="00236C9D" w:rsidP="00311127">
            <w:pPr>
              <w:spacing w:after="120"/>
              <w:ind w:right="386"/>
              <w:jc w:val="right"/>
            </w:pPr>
            <w:r w:rsidRPr="00236C9D">
              <w:t>1,515</w:t>
            </w:r>
          </w:p>
        </w:tc>
        <w:tc>
          <w:tcPr>
            <w:tcW w:w="1560" w:type="dxa"/>
            <w:shd w:val="clear" w:color="auto" w:fill="auto"/>
          </w:tcPr>
          <w:p w:rsidR="00236C9D" w:rsidRPr="00236C9D" w:rsidRDefault="00236C9D" w:rsidP="00A04150">
            <w:pPr>
              <w:spacing w:after="120"/>
              <w:ind w:right="386"/>
              <w:jc w:val="right"/>
            </w:pPr>
            <w:r w:rsidRPr="00236C9D">
              <w:t>630</w:t>
            </w:r>
          </w:p>
        </w:tc>
        <w:tc>
          <w:tcPr>
            <w:tcW w:w="1470" w:type="dxa"/>
            <w:shd w:val="clear" w:color="auto" w:fill="auto"/>
          </w:tcPr>
          <w:p w:rsidR="00236C9D" w:rsidRPr="00236C9D" w:rsidRDefault="00236C9D" w:rsidP="00A04150">
            <w:pPr>
              <w:spacing w:after="120"/>
              <w:ind w:right="386"/>
              <w:jc w:val="right"/>
            </w:pPr>
            <w:r w:rsidRPr="00236C9D">
              <w:t>0</w:t>
            </w:r>
          </w:p>
        </w:tc>
        <w:tc>
          <w:tcPr>
            <w:tcW w:w="1506" w:type="dxa"/>
            <w:shd w:val="clear" w:color="auto" w:fill="auto"/>
          </w:tcPr>
          <w:p w:rsidR="00236C9D" w:rsidRPr="00236C9D" w:rsidRDefault="00236C9D" w:rsidP="00A04150">
            <w:pPr>
              <w:spacing w:after="120"/>
              <w:ind w:right="386"/>
              <w:jc w:val="right"/>
            </w:pPr>
            <w:r w:rsidRPr="00236C9D">
              <w:t>0</w:t>
            </w:r>
          </w:p>
        </w:tc>
      </w:tr>
      <w:tr w:rsidR="00236C9D" w:rsidTr="002607A3">
        <w:tc>
          <w:tcPr>
            <w:tcW w:w="3118" w:type="dxa"/>
            <w:shd w:val="clear" w:color="auto" w:fill="auto"/>
          </w:tcPr>
          <w:p w:rsidR="00236C9D" w:rsidRPr="00236C9D" w:rsidRDefault="00236C9D" w:rsidP="002607A3">
            <w:pPr>
              <w:spacing w:after="120"/>
              <w:ind w:right="386"/>
            </w:pPr>
            <w:r w:rsidRPr="00236C9D">
              <w:t>Provisional Settlement Figures</w:t>
            </w:r>
          </w:p>
        </w:tc>
        <w:tc>
          <w:tcPr>
            <w:tcW w:w="1559" w:type="dxa"/>
            <w:shd w:val="clear" w:color="auto" w:fill="auto"/>
          </w:tcPr>
          <w:p w:rsidR="00236C9D" w:rsidRPr="00236C9D" w:rsidRDefault="00236C9D" w:rsidP="00937B50">
            <w:pPr>
              <w:spacing w:after="120"/>
              <w:ind w:right="386"/>
              <w:jc w:val="right"/>
            </w:pPr>
            <w:r w:rsidRPr="00236C9D">
              <w:t>1,460</w:t>
            </w:r>
          </w:p>
        </w:tc>
        <w:tc>
          <w:tcPr>
            <w:tcW w:w="1560" w:type="dxa"/>
            <w:shd w:val="clear" w:color="auto" w:fill="auto"/>
          </w:tcPr>
          <w:p w:rsidR="00236C9D" w:rsidRPr="00236C9D" w:rsidRDefault="00236C9D" w:rsidP="00937B50">
            <w:pPr>
              <w:spacing w:after="120"/>
              <w:ind w:right="386"/>
              <w:jc w:val="right"/>
            </w:pPr>
            <w:r w:rsidRPr="00236C9D">
              <w:t>630</w:t>
            </w:r>
          </w:p>
        </w:tc>
        <w:tc>
          <w:tcPr>
            <w:tcW w:w="1470" w:type="dxa"/>
            <w:shd w:val="clear" w:color="auto" w:fill="auto"/>
          </w:tcPr>
          <w:p w:rsidR="00236C9D" w:rsidRPr="00236C9D" w:rsidRDefault="00236C9D" w:rsidP="00937B50">
            <w:pPr>
              <w:spacing w:after="120"/>
              <w:ind w:right="386"/>
              <w:jc w:val="right"/>
            </w:pPr>
            <w:r w:rsidRPr="00236C9D">
              <w:t>0</w:t>
            </w:r>
          </w:p>
        </w:tc>
        <w:tc>
          <w:tcPr>
            <w:tcW w:w="1506" w:type="dxa"/>
            <w:shd w:val="clear" w:color="auto" w:fill="auto"/>
          </w:tcPr>
          <w:p w:rsidR="00236C9D" w:rsidRPr="00236C9D" w:rsidRDefault="00236C9D" w:rsidP="00937B50">
            <w:pPr>
              <w:spacing w:after="120"/>
              <w:ind w:right="386"/>
              <w:jc w:val="right"/>
            </w:pPr>
            <w:r w:rsidRPr="00236C9D">
              <w:t>0</w:t>
            </w:r>
          </w:p>
        </w:tc>
      </w:tr>
      <w:tr w:rsidR="00236C9D" w:rsidRPr="00440B9C" w:rsidTr="002607A3">
        <w:trPr>
          <w:trHeight w:val="369"/>
        </w:trPr>
        <w:tc>
          <w:tcPr>
            <w:tcW w:w="3118" w:type="dxa"/>
            <w:shd w:val="clear" w:color="auto" w:fill="auto"/>
          </w:tcPr>
          <w:p w:rsidR="00236C9D" w:rsidRPr="00236C9D" w:rsidRDefault="00236C9D" w:rsidP="00A23AEA">
            <w:pPr>
              <w:spacing w:after="120"/>
              <w:ind w:right="386"/>
              <w:jc w:val="both"/>
              <w:rPr>
                <w:b/>
              </w:rPr>
            </w:pPr>
            <w:r w:rsidRPr="00236C9D">
              <w:rPr>
                <w:b/>
              </w:rPr>
              <w:t>(Decrease)/ Increase</w:t>
            </w:r>
          </w:p>
        </w:tc>
        <w:tc>
          <w:tcPr>
            <w:tcW w:w="1559" w:type="dxa"/>
            <w:shd w:val="clear" w:color="auto" w:fill="auto"/>
          </w:tcPr>
          <w:p w:rsidR="00236C9D" w:rsidRPr="00236C9D" w:rsidRDefault="00236C9D" w:rsidP="00236C9D">
            <w:pPr>
              <w:spacing w:after="120"/>
              <w:ind w:right="386"/>
              <w:jc w:val="right"/>
              <w:rPr>
                <w:b/>
              </w:rPr>
            </w:pPr>
            <w:r w:rsidRPr="00236C9D">
              <w:rPr>
                <w:b/>
              </w:rPr>
              <w:t>(55)</w:t>
            </w:r>
          </w:p>
        </w:tc>
        <w:tc>
          <w:tcPr>
            <w:tcW w:w="1560" w:type="dxa"/>
            <w:shd w:val="clear" w:color="auto" w:fill="auto"/>
          </w:tcPr>
          <w:p w:rsidR="00236C9D" w:rsidRPr="00236C9D" w:rsidRDefault="00236C9D" w:rsidP="00945364">
            <w:pPr>
              <w:spacing w:after="120"/>
              <w:ind w:right="386"/>
              <w:jc w:val="right"/>
              <w:rPr>
                <w:b/>
              </w:rPr>
            </w:pPr>
            <w:r w:rsidRPr="00236C9D">
              <w:rPr>
                <w:b/>
              </w:rPr>
              <w:t>0</w:t>
            </w:r>
          </w:p>
        </w:tc>
        <w:tc>
          <w:tcPr>
            <w:tcW w:w="1470" w:type="dxa"/>
            <w:shd w:val="clear" w:color="auto" w:fill="auto"/>
          </w:tcPr>
          <w:p w:rsidR="00236C9D" w:rsidRPr="00236C9D" w:rsidRDefault="00236C9D" w:rsidP="00945364">
            <w:pPr>
              <w:spacing w:after="120"/>
              <w:ind w:right="386"/>
              <w:jc w:val="right"/>
              <w:rPr>
                <w:b/>
              </w:rPr>
            </w:pPr>
            <w:r w:rsidRPr="00236C9D">
              <w:rPr>
                <w:b/>
              </w:rPr>
              <w:t>0</w:t>
            </w:r>
          </w:p>
        </w:tc>
        <w:tc>
          <w:tcPr>
            <w:tcW w:w="1506" w:type="dxa"/>
            <w:shd w:val="clear" w:color="auto" w:fill="auto"/>
          </w:tcPr>
          <w:p w:rsidR="00236C9D" w:rsidRPr="00236C9D" w:rsidRDefault="00236C9D" w:rsidP="00945364">
            <w:pPr>
              <w:spacing w:after="120"/>
              <w:ind w:right="386"/>
              <w:jc w:val="right"/>
              <w:rPr>
                <w:b/>
              </w:rPr>
            </w:pPr>
            <w:r w:rsidRPr="00236C9D">
              <w:rPr>
                <w:b/>
              </w:rPr>
              <w:t>0</w:t>
            </w:r>
          </w:p>
        </w:tc>
      </w:tr>
    </w:tbl>
    <w:p w:rsidR="00A04150" w:rsidRPr="00F4674C" w:rsidRDefault="00A04150" w:rsidP="00F4674C">
      <w:pPr>
        <w:pStyle w:val="Default"/>
        <w:ind w:left="720"/>
      </w:pPr>
    </w:p>
    <w:p w:rsidR="00F4674C" w:rsidRDefault="00F4674C" w:rsidP="00F4674C">
      <w:pPr>
        <w:pStyle w:val="Default"/>
      </w:pPr>
    </w:p>
    <w:p w:rsidR="00311127" w:rsidRPr="00030814" w:rsidRDefault="00E96DA8" w:rsidP="00F45D14">
      <w:pPr>
        <w:pStyle w:val="ListParagraph"/>
      </w:pPr>
      <w:r>
        <w:t>C</w:t>
      </w:r>
      <w:r w:rsidR="00311127" w:rsidRPr="00030814">
        <w:t xml:space="preserve">ompared to the </w:t>
      </w:r>
      <w:r w:rsidR="007A73F2">
        <w:t>MTFS</w:t>
      </w:r>
      <w:r w:rsidR="00311127" w:rsidRPr="00030814">
        <w:t xml:space="preserve"> there is a</w:t>
      </w:r>
      <w:r w:rsidR="00236C9D">
        <w:t>n</w:t>
      </w:r>
      <w:r w:rsidR="00311127" w:rsidRPr="00030814">
        <w:t xml:space="preserve"> </w:t>
      </w:r>
      <w:r w:rsidR="00236C9D">
        <w:t>adverse</w:t>
      </w:r>
      <w:r w:rsidR="00311127" w:rsidRPr="00030814">
        <w:t xml:space="preserve"> variance of £</w:t>
      </w:r>
      <w:r w:rsidR="00236C9D">
        <w:t>55</w:t>
      </w:r>
      <w:r w:rsidR="00311127" w:rsidRPr="00030814">
        <w:t>k over the four year period</w:t>
      </w:r>
      <w:r w:rsidR="00236C9D">
        <w:t>.</w:t>
      </w:r>
      <w:r w:rsidR="00623D2F" w:rsidRPr="00030814">
        <w:t xml:space="preserve"> </w:t>
      </w:r>
      <w:r w:rsidR="00030814">
        <w:t>Additionally</w:t>
      </w:r>
      <w:r w:rsidR="00B52674">
        <w:t>,</w:t>
      </w:r>
      <w:r w:rsidR="00030814">
        <w:t xml:space="preserve"> </w:t>
      </w:r>
      <w:r w:rsidR="005E7437" w:rsidRPr="00030814">
        <w:t>the Government</w:t>
      </w:r>
      <w:r w:rsidR="002B1E54">
        <w:t>’</w:t>
      </w:r>
      <w:r w:rsidR="005E7437" w:rsidRPr="00030814">
        <w:t>s methodology for calculatin</w:t>
      </w:r>
      <w:r>
        <w:t>g</w:t>
      </w:r>
      <w:r w:rsidR="005E7437" w:rsidRPr="00030814">
        <w:t xml:space="preserve"> R</w:t>
      </w:r>
      <w:r w:rsidR="0087491F" w:rsidRPr="00030814">
        <w:t xml:space="preserve">SG </w:t>
      </w:r>
      <w:r>
        <w:t>results in a negative</w:t>
      </w:r>
      <w:r w:rsidR="0087491F" w:rsidRPr="00030814">
        <w:t xml:space="preserve"> </w:t>
      </w:r>
      <w:r w:rsidR="0070180F">
        <w:t>s</w:t>
      </w:r>
      <w:r w:rsidR="0087491F" w:rsidRPr="00030814">
        <w:t>ettlement</w:t>
      </w:r>
      <w:r>
        <w:t xml:space="preserve"> of </w:t>
      </w:r>
      <w:r w:rsidR="0087491F" w:rsidRPr="00030814">
        <w:t>£295k in 2019/20</w:t>
      </w:r>
      <w:r w:rsidR="002B1E54">
        <w:t xml:space="preserve"> (so we are, in effect, in a position of “negative grant”)</w:t>
      </w:r>
      <w:r w:rsidR="00616D19" w:rsidRPr="00030814">
        <w:t>.  A technical adjustment has been</w:t>
      </w:r>
      <w:r w:rsidR="0087491F" w:rsidRPr="00030814">
        <w:t xml:space="preserve"> </w:t>
      </w:r>
      <w:r w:rsidR="00616D19" w:rsidRPr="00030814">
        <w:t xml:space="preserve">made to the </w:t>
      </w:r>
      <w:r w:rsidR="0087491F" w:rsidRPr="00030814">
        <w:t>Council</w:t>
      </w:r>
      <w:r w:rsidR="00616D19" w:rsidRPr="00030814">
        <w:t>’</w:t>
      </w:r>
      <w:r w:rsidR="0087491F" w:rsidRPr="00030814">
        <w:t xml:space="preserve">s Business Rate Tariff </w:t>
      </w:r>
      <w:r w:rsidR="00B52674">
        <w:t xml:space="preserve">to </w:t>
      </w:r>
      <w:r w:rsidR="00BD1452" w:rsidRPr="00030814">
        <w:t>reduc</w:t>
      </w:r>
      <w:r w:rsidR="00B52674">
        <w:t>e</w:t>
      </w:r>
      <w:r w:rsidR="00BD1452" w:rsidRPr="00030814">
        <w:t xml:space="preserve"> the</w:t>
      </w:r>
      <w:r w:rsidR="0087491F" w:rsidRPr="00030814">
        <w:t xml:space="preserve"> Council</w:t>
      </w:r>
      <w:r w:rsidR="00B52674">
        <w:t>’</w:t>
      </w:r>
      <w:r w:rsidR="0087491F" w:rsidRPr="00030814">
        <w:t xml:space="preserve">s Business Rates </w:t>
      </w:r>
      <w:r w:rsidR="00BD1452" w:rsidRPr="00030814">
        <w:t>i</w:t>
      </w:r>
      <w:r w:rsidR="0087491F" w:rsidRPr="00030814">
        <w:t>ncome</w:t>
      </w:r>
      <w:r w:rsidR="00BD1452" w:rsidRPr="00030814">
        <w:t xml:space="preserve"> by an equivalent amount</w:t>
      </w:r>
      <w:r w:rsidR="0087491F" w:rsidRPr="00030814">
        <w:t xml:space="preserve">. </w:t>
      </w:r>
    </w:p>
    <w:p w:rsidR="00035FE8" w:rsidRDefault="00035FE8" w:rsidP="00F45D14">
      <w:pPr>
        <w:ind w:left="360" w:hanging="360"/>
      </w:pPr>
    </w:p>
    <w:p w:rsidR="0009448D" w:rsidRPr="00503BF4" w:rsidRDefault="0009448D" w:rsidP="00F45D14">
      <w:pPr>
        <w:pStyle w:val="Heading1"/>
      </w:pPr>
      <w:r w:rsidRPr="00503BF4">
        <w:t>Retained Business Rates</w:t>
      </w:r>
    </w:p>
    <w:p w:rsidR="00503BF4" w:rsidRDefault="0009448D" w:rsidP="00F45D14">
      <w:pPr>
        <w:pStyle w:val="ListParagraph"/>
      </w:pPr>
      <w:r w:rsidRPr="00503BF4">
        <w:t>The Government</w:t>
      </w:r>
      <w:r w:rsidR="004170DA" w:rsidRPr="00503BF4">
        <w:t xml:space="preserve"> has</w:t>
      </w:r>
      <w:r w:rsidRPr="00503BF4">
        <w:t xml:space="preserve"> issue</w:t>
      </w:r>
      <w:r w:rsidR="00A008B4" w:rsidRPr="00503BF4">
        <w:t>d</w:t>
      </w:r>
      <w:r w:rsidRPr="00503BF4">
        <w:t xml:space="preserve"> authorities with the</w:t>
      </w:r>
      <w:r w:rsidR="003260A1" w:rsidRPr="00503BF4">
        <w:t>ir</w:t>
      </w:r>
      <w:r w:rsidRPr="00503BF4">
        <w:t xml:space="preserve"> Retained Business Rates </w:t>
      </w:r>
      <w:r w:rsidR="00BE5F5C">
        <w:t>B</w:t>
      </w:r>
      <w:r w:rsidRPr="00503BF4">
        <w:t xml:space="preserve">aseline </w:t>
      </w:r>
      <w:r w:rsidR="00BE5F5C">
        <w:t>F</w:t>
      </w:r>
      <w:r w:rsidRPr="00503BF4">
        <w:t xml:space="preserve">unding </w:t>
      </w:r>
      <w:r w:rsidR="00BE5F5C">
        <w:t>L</w:t>
      </w:r>
      <w:r w:rsidRPr="00503BF4">
        <w:t>evel</w:t>
      </w:r>
      <w:r w:rsidR="001F74AB">
        <w:t>s</w:t>
      </w:r>
      <w:r w:rsidRPr="00503BF4">
        <w:t xml:space="preserve"> </w:t>
      </w:r>
      <w:r w:rsidR="00236C9D">
        <w:t xml:space="preserve">for 2017-18 to 2019-20. </w:t>
      </w:r>
      <w:r w:rsidRPr="00503BF4">
        <w:t xml:space="preserve">The actual amount of </w:t>
      </w:r>
      <w:r w:rsidR="00C965E4" w:rsidRPr="00503BF4">
        <w:t>R</w:t>
      </w:r>
      <w:r w:rsidRPr="00503BF4">
        <w:t xml:space="preserve">etained </w:t>
      </w:r>
      <w:r w:rsidR="00C965E4" w:rsidRPr="00503BF4">
        <w:t>B</w:t>
      </w:r>
      <w:r w:rsidRPr="00503BF4">
        <w:t xml:space="preserve">usiness </w:t>
      </w:r>
      <w:r w:rsidR="00C965E4" w:rsidRPr="00503BF4">
        <w:t>R</w:t>
      </w:r>
      <w:r w:rsidRPr="00503BF4">
        <w:t xml:space="preserve">ates depends on a number of factors including the estimated amount of business rates income </w:t>
      </w:r>
      <w:r w:rsidR="00C53613" w:rsidRPr="00503BF4">
        <w:t xml:space="preserve">net of </w:t>
      </w:r>
      <w:r w:rsidRPr="00503BF4">
        <w:t xml:space="preserve">appeals and write offs, the tariff payable to the Government </w:t>
      </w:r>
      <w:r w:rsidR="00C53613" w:rsidRPr="00503BF4">
        <w:t xml:space="preserve">and </w:t>
      </w:r>
      <w:r w:rsidR="00826488" w:rsidRPr="00503BF4">
        <w:t>the levy paid on a</w:t>
      </w:r>
      <w:r w:rsidR="00C53613" w:rsidRPr="00503BF4">
        <w:t xml:space="preserve">dditional income above </w:t>
      </w:r>
      <w:r w:rsidR="00B52674">
        <w:t xml:space="preserve">the </w:t>
      </w:r>
      <w:r w:rsidR="00882E39">
        <w:t>B</w:t>
      </w:r>
      <w:r w:rsidR="00C53613" w:rsidRPr="00503BF4">
        <w:t>aseline, currently 50% for Oxford</w:t>
      </w:r>
      <w:r w:rsidR="00826488" w:rsidRPr="00503BF4">
        <w:t xml:space="preserve">. </w:t>
      </w:r>
    </w:p>
    <w:p w:rsidR="0075138D" w:rsidRDefault="0075138D" w:rsidP="00287523">
      <w:pPr>
        <w:pStyle w:val="Default"/>
        <w:ind w:left="720"/>
      </w:pPr>
    </w:p>
    <w:p w:rsidR="00503BF4" w:rsidRPr="00030F4B" w:rsidRDefault="00826488" w:rsidP="00030F4B">
      <w:pPr>
        <w:pStyle w:val="ListParagraph"/>
        <w:rPr>
          <w:highlight w:val="yellow"/>
        </w:rPr>
      </w:pPr>
      <w:r w:rsidRPr="00030F4B">
        <w:t>Alm</w:t>
      </w:r>
      <w:r w:rsidRPr="00917771">
        <w:t>ost</w:t>
      </w:r>
      <w:r w:rsidRPr="00503BF4">
        <w:t xml:space="preserve"> certainly the </w:t>
      </w:r>
      <w:r w:rsidR="00882E39">
        <w:t>B</w:t>
      </w:r>
      <w:r w:rsidRPr="00503BF4">
        <w:t xml:space="preserve">aseline </w:t>
      </w:r>
      <w:r w:rsidR="00882E39">
        <w:t>F</w:t>
      </w:r>
      <w:r w:rsidRPr="00503BF4">
        <w:t xml:space="preserve">unding </w:t>
      </w:r>
      <w:r w:rsidR="00882E39">
        <w:t>L</w:t>
      </w:r>
      <w:r w:rsidRPr="00503BF4">
        <w:t xml:space="preserve">evel will not be the amount the authority eventually receives </w:t>
      </w:r>
      <w:r w:rsidR="00C3017F">
        <w:t>in</w:t>
      </w:r>
      <w:r w:rsidR="00C3017F" w:rsidRPr="00503BF4">
        <w:t xml:space="preserve"> </w:t>
      </w:r>
      <w:r w:rsidRPr="00503BF4">
        <w:t>Retained Business Rates.</w:t>
      </w:r>
      <w:r w:rsidR="00A23AEA" w:rsidRPr="00503BF4">
        <w:t xml:space="preserve"> A summary of the changes is given below</w:t>
      </w:r>
      <w:r w:rsidR="009902B7" w:rsidRPr="00503BF4">
        <w:t xml:space="preserve">  but it should be noted that there </w:t>
      </w:r>
      <w:r w:rsidR="00042A94">
        <w:t>can be</w:t>
      </w:r>
      <w:r w:rsidR="009902B7" w:rsidRPr="00503BF4">
        <w:t xml:space="preserve"> substantial </w:t>
      </w:r>
      <w:r w:rsidR="00042A94">
        <w:t>volatility</w:t>
      </w:r>
      <w:r w:rsidR="009902B7" w:rsidRPr="00503BF4">
        <w:t xml:space="preserve"> around these figures</w:t>
      </w:r>
      <w:r w:rsidR="00A23AEA" w:rsidRPr="00503BF4">
        <w:t>:</w:t>
      </w:r>
    </w:p>
    <w:p w:rsidR="00BE5F5C" w:rsidRPr="00FF2493" w:rsidRDefault="00BE5F5C" w:rsidP="00173676">
      <w:pPr>
        <w:pStyle w:val="Default"/>
        <w:ind w:left="720"/>
        <w:rPr>
          <w:highlight w:val="yellow"/>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1470"/>
        <w:gridCol w:w="1507"/>
        <w:gridCol w:w="1470"/>
        <w:gridCol w:w="1490"/>
      </w:tblGrid>
      <w:tr w:rsidR="00173676" w:rsidRPr="00FF2493" w:rsidTr="00945364">
        <w:tc>
          <w:tcPr>
            <w:tcW w:w="9145" w:type="dxa"/>
            <w:gridSpan w:val="5"/>
            <w:shd w:val="clear" w:color="auto" w:fill="D9D9D9"/>
          </w:tcPr>
          <w:p w:rsidR="00173676" w:rsidRPr="00706D1F" w:rsidRDefault="00173676" w:rsidP="00895AE4">
            <w:pPr>
              <w:spacing w:after="120"/>
              <w:ind w:right="386"/>
              <w:rPr>
                <w:b/>
              </w:rPr>
            </w:pPr>
            <w:r w:rsidRPr="00F45D14">
              <w:rPr>
                <w:b/>
              </w:rPr>
              <w:t xml:space="preserve">Table </w:t>
            </w:r>
            <w:r w:rsidR="00895AE4" w:rsidRPr="00F45D14">
              <w:rPr>
                <w:b/>
              </w:rPr>
              <w:t>3</w:t>
            </w:r>
            <w:r w:rsidRPr="00F45D14">
              <w:rPr>
                <w:b/>
              </w:rPr>
              <w:t xml:space="preserve"> Change In Business Rates since Consultation Budget</w:t>
            </w:r>
          </w:p>
        </w:tc>
      </w:tr>
      <w:tr w:rsidR="00236C9D" w:rsidRPr="00FF2493" w:rsidTr="00945364">
        <w:tc>
          <w:tcPr>
            <w:tcW w:w="3208" w:type="dxa"/>
            <w:shd w:val="clear" w:color="auto" w:fill="D9D9D9"/>
          </w:tcPr>
          <w:p w:rsidR="00236C9D" w:rsidRPr="00706D1F" w:rsidRDefault="00236C9D" w:rsidP="00945364">
            <w:pPr>
              <w:spacing w:after="120"/>
              <w:ind w:right="386"/>
              <w:jc w:val="both"/>
              <w:rPr>
                <w:b/>
              </w:rPr>
            </w:pPr>
          </w:p>
        </w:tc>
        <w:tc>
          <w:tcPr>
            <w:tcW w:w="1470" w:type="dxa"/>
            <w:shd w:val="clear" w:color="auto" w:fill="D9D9D9"/>
          </w:tcPr>
          <w:p w:rsidR="00236C9D" w:rsidRPr="00706D1F" w:rsidRDefault="00236C9D" w:rsidP="005A5B60">
            <w:pPr>
              <w:spacing w:after="120"/>
              <w:ind w:right="386"/>
              <w:jc w:val="center"/>
              <w:rPr>
                <w:b/>
              </w:rPr>
            </w:pPr>
            <w:r w:rsidRPr="00706D1F">
              <w:rPr>
                <w:b/>
              </w:rPr>
              <w:t xml:space="preserve">2017/18 </w:t>
            </w:r>
          </w:p>
          <w:p w:rsidR="00236C9D" w:rsidRPr="00706D1F" w:rsidRDefault="00236C9D" w:rsidP="005A5B60">
            <w:pPr>
              <w:spacing w:after="120"/>
              <w:ind w:right="386"/>
              <w:jc w:val="center"/>
              <w:rPr>
                <w:b/>
              </w:rPr>
            </w:pPr>
            <w:r w:rsidRPr="00706D1F">
              <w:rPr>
                <w:b/>
              </w:rPr>
              <w:t>Est</w:t>
            </w:r>
          </w:p>
        </w:tc>
        <w:tc>
          <w:tcPr>
            <w:tcW w:w="1507" w:type="dxa"/>
            <w:shd w:val="clear" w:color="auto" w:fill="D9D9D9"/>
          </w:tcPr>
          <w:p w:rsidR="00236C9D" w:rsidRPr="00706D1F" w:rsidRDefault="00236C9D" w:rsidP="005A5B60">
            <w:pPr>
              <w:spacing w:after="120"/>
              <w:ind w:right="386"/>
              <w:jc w:val="center"/>
              <w:rPr>
                <w:b/>
              </w:rPr>
            </w:pPr>
            <w:r w:rsidRPr="00706D1F">
              <w:rPr>
                <w:b/>
              </w:rPr>
              <w:t xml:space="preserve">2018/19 </w:t>
            </w:r>
          </w:p>
          <w:p w:rsidR="00236C9D" w:rsidRPr="00706D1F" w:rsidRDefault="00236C9D" w:rsidP="005A5B60">
            <w:pPr>
              <w:spacing w:after="120"/>
              <w:ind w:right="386"/>
              <w:jc w:val="center"/>
              <w:rPr>
                <w:b/>
              </w:rPr>
            </w:pPr>
            <w:r w:rsidRPr="00706D1F">
              <w:rPr>
                <w:b/>
              </w:rPr>
              <w:t>Est</w:t>
            </w:r>
          </w:p>
        </w:tc>
        <w:tc>
          <w:tcPr>
            <w:tcW w:w="1470" w:type="dxa"/>
            <w:shd w:val="clear" w:color="auto" w:fill="D9D9D9"/>
          </w:tcPr>
          <w:p w:rsidR="00236C9D" w:rsidRPr="00706D1F" w:rsidRDefault="00236C9D" w:rsidP="005A5B60">
            <w:pPr>
              <w:spacing w:after="120"/>
              <w:ind w:right="386"/>
              <w:jc w:val="center"/>
              <w:rPr>
                <w:b/>
              </w:rPr>
            </w:pPr>
            <w:r w:rsidRPr="00706D1F">
              <w:rPr>
                <w:b/>
              </w:rPr>
              <w:t xml:space="preserve">2019/20 </w:t>
            </w:r>
          </w:p>
          <w:p w:rsidR="00236C9D" w:rsidRPr="00706D1F" w:rsidRDefault="00236C9D" w:rsidP="005A5B60">
            <w:pPr>
              <w:spacing w:after="120"/>
              <w:ind w:right="386"/>
              <w:jc w:val="center"/>
              <w:rPr>
                <w:b/>
              </w:rPr>
            </w:pPr>
            <w:r w:rsidRPr="00706D1F">
              <w:rPr>
                <w:b/>
              </w:rPr>
              <w:t>Est</w:t>
            </w:r>
          </w:p>
        </w:tc>
        <w:tc>
          <w:tcPr>
            <w:tcW w:w="1490" w:type="dxa"/>
            <w:shd w:val="clear" w:color="auto" w:fill="D9D9D9"/>
          </w:tcPr>
          <w:p w:rsidR="00236C9D" w:rsidRPr="00706D1F" w:rsidRDefault="00236C9D" w:rsidP="0048296E">
            <w:pPr>
              <w:spacing w:after="120"/>
              <w:ind w:right="386"/>
              <w:jc w:val="center"/>
              <w:rPr>
                <w:b/>
              </w:rPr>
            </w:pPr>
            <w:r w:rsidRPr="00706D1F">
              <w:rPr>
                <w:b/>
              </w:rPr>
              <w:t>20</w:t>
            </w:r>
            <w:r>
              <w:rPr>
                <w:b/>
              </w:rPr>
              <w:t>20</w:t>
            </w:r>
            <w:r w:rsidRPr="00706D1F">
              <w:rPr>
                <w:b/>
              </w:rPr>
              <w:t>/2</w:t>
            </w:r>
            <w:r>
              <w:rPr>
                <w:b/>
              </w:rPr>
              <w:t>1</w:t>
            </w:r>
            <w:r w:rsidRPr="00706D1F">
              <w:rPr>
                <w:b/>
              </w:rPr>
              <w:t xml:space="preserve"> </w:t>
            </w:r>
          </w:p>
          <w:p w:rsidR="00236C9D" w:rsidRPr="00706D1F" w:rsidRDefault="00236C9D" w:rsidP="0048296E">
            <w:pPr>
              <w:spacing w:after="120"/>
              <w:ind w:right="386"/>
              <w:jc w:val="center"/>
              <w:rPr>
                <w:b/>
              </w:rPr>
            </w:pPr>
            <w:r w:rsidRPr="00706D1F">
              <w:rPr>
                <w:b/>
              </w:rPr>
              <w:t>Est</w:t>
            </w:r>
          </w:p>
        </w:tc>
      </w:tr>
      <w:tr w:rsidR="00236C9D" w:rsidRPr="00FF2493" w:rsidTr="00945364">
        <w:tc>
          <w:tcPr>
            <w:tcW w:w="3208" w:type="dxa"/>
            <w:shd w:val="clear" w:color="auto" w:fill="D9D9D9"/>
          </w:tcPr>
          <w:p w:rsidR="00236C9D" w:rsidRPr="00706D1F" w:rsidRDefault="00236C9D" w:rsidP="00945364">
            <w:pPr>
              <w:spacing w:after="120"/>
              <w:ind w:right="386"/>
              <w:jc w:val="both"/>
              <w:rPr>
                <w:b/>
              </w:rPr>
            </w:pPr>
          </w:p>
        </w:tc>
        <w:tc>
          <w:tcPr>
            <w:tcW w:w="1470" w:type="dxa"/>
            <w:shd w:val="clear" w:color="auto" w:fill="D9D9D9"/>
          </w:tcPr>
          <w:p w:rsidR="00236C9D" w:rsidRPr="00030F4B" w:rsidRDefault="00236C9D" w:rsidP="00945364">
            <w:pPr>
              <w:spacing w:after="120"/>
              <w:ind w:right="386"/>
              <w:jc w:val="center"/>
              <w:rPr>
                <w:b/>
              </w:rPr>
            </w:pPr>
            <w:r w:rsidRPr="00030F4B">
              <w:rPr>
                <w:b/>
              </w:rPr>
              <w:t>£000’s</w:t>
            </w:r>
          </w:p>
        </w:tc>
        <w:tc>
          <w:tcPr>
            <w:tcW w:w="1507" w:type="dxa"/>
            <w:shd w:val="clear" w:color="auto" w:fill="D9D9D9"/>
          </w:tcPr>
          <w:p w:rsidR="00236C9D" w:rsidRPr="00030F4B" w:rsidRDefault="00236C9D" w:rsidP="00945364">
            <w:pPr>
              <w:spacing w:after="120"/>
              <w:ind w:right="386"/>
              <w:jc w:val="center"/>
              <w:rPr>
                <w:b/>
              </w:rPr>
            </w:pPr>
            <w:r w:rsidRPr="00030F4B">
              <w:rPr>
                <w:b/>
              </w:rPr>
              <w:t>£000’s</w:t>
            </w:r>
          </w:p>
        </w:tc>
        <w:tc>
          <w:tcPr>
            <w:tcW w:w="1470" w:type="dxa"/>
            <w:shd w:val="clear" w:color="auto" w:fill="D9D9D9"/>
          </w:tcPr>
          <w:p w:rsidR="00236C9D" w:rsidRPr="00030F4B" w:rsidRDefault="00236C9D" w:rsidP="00945364">
            <w:pPr>
              <w:spacing w:after="120"/>
              <w:ind w:right="386"/>
              <w:jc w:val="center"/>
              <w:rPr>
                <w:b/>
              </w:rPr>
            </w:pPr>
            <w:r w:rsidRPr="00030F4B">
              <w:rPr>
                <w:b/>
              </w:rPr>
              <w:t>£000’s</w:t>
            </w:r>
          </w:p>
        </w:tc>
        <w:tc>
          <w:tcPr>
            <w:tcW w:w="1490" w:type="dxa"/>
            <w:shd w:val="clear" w:color="auto" w:fill="D9D9D9"/>
          </w:tcPr>
          <w:p w:rsidR="00236C9D" w:rsidRPr="00706D1F" w:rsidRDefault="00236C9D" w:rsidP="00945364">
            <w:pPr>
              <w:spacing w:after="120"/>
              <w:ind w:right="386"/>
              <w:jc w:val="center"/>
              <w:rPr>
                <w:b/>
              </w:rPr>
            </w:pPr>
            <w:r w:rsidRPr="00030F4B">
              <w:rPr>
                <w:b/>
              </w:rPr>
              <w:t>£000’s</w:t>
            </w:r>
          </w:p>
        </w:tc>
      </w:tr>
      <w:tr w:rsidR="00236C9D" w:rsidRPr="00FF2493" w:rsidTr="00945364">
        <w:tc>
          <w:tcPr>
            <w:tcW w:w="3208" w:type="dxa"/>
            <w:shd w:val="clear" w:color="auto" w:fill="auto"/>
          </w:tcPr>
          <w:p w:rsidR="00236C9D" w:rsidRPr="00706D1F" w:rsidRDefault="00236C9D" w:rsidP="00945364">
            <w:pPr>
              <w:spacing w:after="120"/>
              <w:ind w:right="386"/>
              <w:jc w:val="both"/>
              <w:rPr>
                <w:b/>
              </w:rPr>
            </w:pPr>
            <w:r w:rsidRPr="00706D1F">
              <w:rPr>
                <w:b/>
              </w:rPr>
              <w:t>Consultation Budget</w:t>
            </w:r>
          </w:p>
        </w:tc>
        <w:tc>
          <w:tcPr>
            <w:tcW w:w="1470" w:type="dxa"/>
            <w:shd w:val="clear" w:color="auto" w:fill="auto"/>
          </w:tcPr>
          <w:p w:rsidR="00236C9D" w:rsidRPr="00706D1F" w:rsidRDefault="00236C9D" w:rsidP="00A6076B">
            <w:pPr>
              <w:tabs>
                <w:tab w:val="left" w:pos="1254"/>
              </w:tabs>
              <w:spacing w:after="120"/>
              <w:ind w:right="34"/>
              <w:jc w:val="right"/>
            </w:pPr>
            <w:r>
              <w:t>6,817</w:t>
            </w:r>
          </w:p>
        </w:tc>
        <w:tc>
          <w:tcPr>
            <w:tcW w:w="1507" w:type="dxa"/>
            <w:shd w:val="clear" w:color="auto" w:fill="auto"/>
          </w:tcPr>
          <w:p w:rsidR="00236C9D" w:rsidRPr="00706D1F" w:rsidRDefault="00236C9D" w:rsidP="00706D1F">
            <w:pPr>
              <w:spacing w:after="120"/>
              <w:jc w:val="right"/>
            </w:pPr>
            <w:r>
              <w:t>8,243</w:t>
            </w:r>
          </w:p>
        </w:tc>
        <w:tc>
          <w:tcPr>
            <w:tcW w:w="1470" w:type="dxa"/>
            <w:shd w:val="clear" w:color="auto" w:fill="auto"/>
          </w:tcPr>
          <w:p w:rsidR="00236C9D" w:rsidRPr="00706D1F" w:rsidRDefault="00236C9D" w:rsidP="00706D1F">
            <w:pPr>
              <w:spacing w:after="120"/>
              <w:jc w:val="right"/>
            </w:pPr>
            <w:r>
              <w:t>8,136</w:t>
            </w:r>
          </w:p>
        </w:tc>
        <w:tc>
          <w:tcPr>
            <w:tcW w:w="1490" w:type="dxa"/>
            <w:shd w:val="clear" w:color="auto" w:fill="auto"/>
          </w:tcPr>
          <w:p w:rsidR="00236C9D" w:rsidRPr="00706D1F" w:rsidRDefault="00236C9D" w:rsidP="00706D1F">
            <w:pPr>
              <w:spacing w:after="120"/>
              <w:jc w:val="right"/>
            </w:pPr>
            <w:r>
              <w:t>8,145</w:t>
            </w:r>
          </w:p>
        </w:tc>
      </w:tr>
      <w:tr w:rsidR="00236C9D" w:rsidRPr="00FF2493" w:rsidTr="00945364">
        <w:tc>
          <w:tcPr>
            <w:tcW w:w="3208" w:type="dxa"/>
            <w:shd w:val="clear" w:color="auto" w:fill="auto"/>
          </w:tcPr>
          <w:p w:rsidR="00236C9D" w:rsidRPr="00706D1F" w:rsidRDefault="00236C9D" w:rsidP="00236C9D">
            <w:pPr>
              <w:spacing w:after="120"/>
              <w:ind w:right="386"/>
            </w:pPr>
            <w:r>
              <w:t xml:space="preserve">Provisional </w:t>
            </w:r>
            <w:r w:rsidRPr="00706D1F">
              <w:t xml:space="preserve">Finance Settlement </w:t>
            </w:r>
            <w:r>
              <w:t xml:space="preserve"> </w:t>
            </w:r>
          </w:p>
        </w:tc>
        <w:tc>
          <w:tcPr>
            <w:tcW w:w="1470" w:type="dxa"/>
            <w:shd w:val="clear" w:color="auto" w:fill="auto"/>
          </w:tcPr>
          <w:p w:rsidR="00236C9D" w:rsidRPr="00706D1F" w:rsidRDefault="00236C9D" w:rsidP="00706D1F">
            <w:pPr>
              <w:spacing w:after="120"/>
              <w:ind w:right="34"/>
              <w:jc w:val="right"/>
            </w:pPr>
            <w:r>
              <w:t>6,647</w:t>
            </w:r>
          </w:p>
        </w:tc>
        <w:tc>
          <w:tcPr>
            <w:tcW w:w="1507" w:type="dxa"/>
            <w:shd w:val="clear" w:color="auto" w:fill="auto"/>
          </w:tcPr>
          <w:p w:rsidR="00236C9D" w:rsidRPr="00706D1F" w:rsidRDefault="00236C9D" w:rsidP="00706D1F">
            <w:pPr>
              <w:tabs>
                <w:tab w:val="left" w:pos="1291"/>
              </w:tabs>
              <w:spacing w:after="120"/>
              <w:jc w:val="right"/>
            </w:pPr>
            <w:r>
              <w:t>8,085</w:t>
            </w:r>
          </w:p>
        </w:tc>
        <w:tc>
          <w:tcPr>
            <w:tcW w:w="1470" w:type="dxa"/>
            <w:shd w:val="clear" w:color="auto" w:fill="auto"/>
          </w:tcPr>
          <w:p w:rsidR="00236C9D" w:rsidRPr="00706D1F" w:rsidRDefault="00236C9D" w:rsidP="00706D1F">
            <w:pPr>
              <w:spacing w:after="120"/>
              <w:jc w:val="right"/>
            </w:pPr>
            <w:r>
              <w:t>8,005</w:t>
            </w:r>
          </w:p>
        </w:tc>
        <w:tc>
          <w:tcPr>
            <w:tcW w:w="1490" w:type="dxa"/>
            <w:shd w:val="clear" w:color="auto" w:fill="auto"/>
          </w:tcPr>
          <w:p w:rsidR="00236C9D" w:rsidRPr="00706D1F" w:rsidRDefault="00236C9D" w:rsidP="00706D1F">
            <w:pPr>
              <w:spacing w:after="120"/>
              <w:jc w:val="right"/>
            </w:pPr>
            <w:r>
              <w:t>8,009</w:t>
            </w:r>
          </w:p>
        </w:tc>
      </w:tr>
      <w:tr w:rsidR="00236C9D" w:rsidRPr="00FF2493" w:rsidTr="00945364">
        <w:trPr>
          <w:trHeight w:val="369"/>
        </w:trPr>
        <w:tc>
          <w:tcPr>
            <w:tcW w:w="3208" w:type="dxa"/>
            <w:shd w:val="clear" w:color="auto" w:fill="auto"/>
          </w:tcPr>
          <w:p w:rsidR="00236C9D" w:rsidRPr="00706D1F" w:rsidRDefault="00236C9D" w:rsidP="00A23AEA">
            <w:pPr>
              <w:spacing w:after="120"/>
              <w:ind w:right="386"/>
              <w:jc w:val="both"/>
              <w:rPr>
                <w:b/>
              </w:rPr>
            </w:pPr>
            <w:r w:rsidRPr="00706D1F">
              <w:rPr>
                <w:b/>
              </w:rPr>
              <w:t xml:space="preserve">(Decrease)/ Increase </w:t>
            </w:r>
          </w:p>
        </w:tc>
        <w:tc>
          <w:tcPr>
            <w:tcW w:w="1470" w:type="dxa"/>
            <w:shd w:val="clear" w:color="auto" w:fill="auto"/>
          </w:tcPr>
          <w:p w:rsidR="00236C9D" w:rsidRPr="00706D1F" w:rsidRDefault="00236C9D" w:rsidP="00706D1F">
            <w:pPr>
              <w:spacing w:after="120"/>
              <w:ind w:right="34"/>
              <w:jc w:val="right"/>
              <w:rPr>
                <w:b/>
              </w:rPr>
            </w:pPr>
            <w:r>
              <w:rPr>
                <w:b/>
              </w:rPr>
              <w:t>(170)</w:t>
            </w:r>
          </w:p>
        </w:tc>
        <w:tc>
          <w:tcPr>
            <w:tcW w:w="1507" w:type="dxa"/>
            <w:shd w:val="clear" w:color="auto" w:fill="auto"/>
          </w:tcPr>
          <w:p w:rsidR="00236C9D" w:rsidRPr="00706D1F" w:rsidRDefault="00236C9D" w:rsidP="00706D1F">
            <w:pPr>
              <w:spacing w:after="120"/>
              <w:jc w:val="right"/>
              <w:rPr>
                <w:b/>
              </w:rPr>
            </w:pPr>
            <w:r>
              <w:rPr>
                <w:b/>
              </w:rPr>
              <w:t>(158)</w:t>
            </w:r>
          </w:p>
        </w:tc>
        <w:tc>
          <w:tcPr>
            <w:tcW w:w="1470" w:type="dxa"/>
            <w:shd w:val="clear" w:color="auto" w:fill="auto"/>
          </w:tcPr>
          <w:p w:rsidR="00236C9D" w:rsidRPr="00706D1F" w:rsidRDefault="00236C9D" w:rsidP="00236C9D">
            <w:pPr>
              <w:spacing w:after="120"/>
              <w:jc w:val="right"/>
              <w:rPr>
                <w:b/>
              </w:rPr>
            </w:pPr>
            <w:r>
              <w:rPr>
                <w:b/>
              </w:rPr>
              <w:t>(133)</w:t>
            </w:r>
          </w:p>
        </w:tc>
        <w:tc>
          <w:tcPr>
            <w:tcW w:w="1490" w:type="dxa"/>
            <w:shd w:val="clear" w:color="auto" w:fill="auto"/>
          </w:tcPr>
          <w:p w:rsidR="00236C9D" w:rsidRPr="00706D1F" w:rsidRDefault="00236C9D" w:rsidP="00236C9D">
            <w:pPr>
              <w:spacing w:after="120"/>
              <w:jc w:val="right"/>
              <w:rPr>
                <w:b/>
              </w:rPr>
            </w:pPr>
            <w:r w:rsidRPr="00706D1F">
              <w:rPr>
                <w:b/>
              </w:rPr>
              <w:t>(1</w:t>
            </w:r>
            <w:r>
              <w:rPr>
                <w:b/>
              </w:rPr>
              <w:t>35</w:t>
            </w:r>
            <w:r w:rsidRPr="00706D1F">
              <w:rPr>
                <w:b/>
              </w:rPr>
              <w:t>)</w:t>
            </w:r>
          </w:p>
        </w:tc>
      </w:tr>
      <w:tr w:rsidR="00236C9D" w:rsidRPr="00FF2493" w:rsidTr="00945364">
        <w:trPr>
          <w:trHeight w:val="369"/>
        </w:trPr>
        <w:tc>
          <w:tcPr>
            <w:tcW w:w="3208" w:type="dxa"/>
            <w:shd w:val="clear" w:color="auto" w:fill="auto"/>
          </w:tcPr>
          <w:p w:rsidR="00236C9D" w:rsidRPr="00503BF4" w:rsidRDefault="00236C9D" w:rsidP="00C71FB2">
            <w:pPr>
              <w:ind w:right="386"/>
            </w:pPr>
          </w:p>
        </w:tc>
        <w:tc>
          <w:tcPr>
            <w:tcW w:w="1470" w:type="dxa"/>
            <w:shd w:val="clear" w:color="auto" w:fill="auto"/>
          </w:tcPr>
          <w:p w:rsidR="00236C9D" w:rsidRPr="00503BF4" w:rsidRDefault="00236C9D" w:rsidP="0075138D">
            <w:pPr>
              <w:tabs>
                <w:tab w:val="left" w:pos="1404"/>
              </w:tabs>
              <w:jc w:val="right"/>
            </w:pPr>
          </w:p>
        </w:tc>
        <w:tc>
          <w:tcPr>
            <w:tcW w:w="1507" w:type="dxa"/>
            <w:shd w:val="clear" w:color="auto" w:fill="auto"/>
          </w:tcPr>
          <w:p w:rsidR="00236C9D" w:rsidRPr="00503BF4" w:rsidRDefault="00236C9D" w:rsidP="00C71FB2">
            <w:pPr>
              <w:jc w:val="right"/>
            </w:pPr>
          </w:p>
        </w:tc>
        <w:tc>
          <w:tcPr>
            <w:tcW w:w="1470" w:type="dxa"/>
            <w:shd w:val="clear" w:color="auto" w:fill="auto"/>
          </w:tcPr>
          <w:p w:rsidR="00236C9D" w:rsidRPr="00503BF4" w:rsidRDefault="00236C9D" w:rsidP="00C71FB2">
            <w:pPr>
              <w:ind w:right="-6"/>
              <w:jc w:val="right"/>
            </w:pPr>
          </w:p>
        </w:tc>
        <w:tc>
          <w:tcPr>
            <w:tcW w:w="1490" w:type="dxa"/>
            <w:shd w:val="clear" w:color="auto" w:fill="auto"/>
          </w:tcPr>
          <w:p w:rsidR="00236C9D" w:rsidRPr="00503BF4" w:rsidRDefault="00236C9D" w:rsidP="00C71FB2">
            <w:pPr>
              <w:tabs>
                <w:tab w:val="left" w:pos="1350"/>
              </w:tabs>
              <w:jc w:val="right"/>
            </w:pPr>
          </w:p>
        </w:tc>
      </w:tr>
      <w:tr w:rsidR="00236C9D" w:rsidRPr="00FF2493" w:rsidTr="00945364">
        <w:trPr>
          <w:trHeight w:val="369"/>
        </w:trPr>
        <w:tc>
          <w:tcPr>
            <w:tcW w:w="3208" w:type="dxa"/>
            <w:shd w:val="clear" w:color="auto" w:fill="auto"/>
          </w:tcPr>
          <w:p w:rsidR="00236C9D" w:rsidRPr="00503BF4" w:rsidRDefault="00236C9D" w:rsidP="00C71FB2">
            <w:pPr>
              <w:ind w:right="386"/>
            </w:pPr>
            <w:r w:rsidRPr="00503BF4">
              <w:t>Tariff</w:t>
            </w:r>
          </w:p>
        </w:tc>
        <w:tc>
          <w:tcPr>
            <w:tcW w:w="1470" w:type="dxa"/>
            <w:shd w:val="clear" w:color="auto" w:fill="auto"/>
          </w:tcPr>
          <w:p w:rsidR="00236C9D" w:rsidRPr="00503BF4" w:rsidRDefault="00236C9D" w:rsidP="00236C9D">
            <w:pPr>
              <w:tabs>
                <w:tab w:val="left" w:pos="1404"/>
              </w:tabs>
              <w:jc w:val="right"/>
            </w:pPr>
            <w:r w:rsidRPr="00503BF4">
              <w:t>2</w:t>
            </w:r>
            <w:r>
              <w:t>8,600</w:t>
            </w:r>
          </w:p>
        </w:tc>
        <w:tc>
          <w:tcPr>
            <w:tcW w:w="1507" w:type="dxa"/>
            <w:shd w:val="clear" w:color="auto" w:fill="auto"/>
          </w:tcPr>
          <w:p w:rsidR="00236C9D" w:rsidRPr="00503BF4" w:rsidRDefault="00236C9D" w:rsidP="00C71FB2">
            <w:pPr>
              <w:jc w:val="right"/>
            </w:pPr>
            <w:r>
              <w:t>29,520</w:t>
            </w:r>
          </w:p>
        </w:tc>
        <w:tc>
          <w:tcPr>
            <w:tcW w:w="1470" w:type="dxa"/>
            <w:shd w:val="clear" w:color="auto" w:fill="auto"/>
          </w:tcPr>
          <w:p w:rsidR="00236C9D" w:rsidRPr="00503BF4" w:rsidRDefault="00236C9D" w:rsidP="00C71FB2">
            <w:pPr>
              <w:ind w:right="-6"/>
              <w:jc w:val="right"/>
            </w:pPr>
            <w:r>
              <w:t>30,570</w:t>
            </w:r>
          </w:p>
        </w:tc>
        <w:tc>
          <w:tcPr>
            <w:tcW w:w="1490" w:type="dxa"/>
            <w:shd w:val="clear" w:color="auto" w:fill="auto"/>
          </w:tcPr>
          <w:p w:rsidR="00236C9D" w:rsidRPr="00503BF4" w:rsidRDefault="00236C9D" w:rsidP="00C71FB2">
            <w:pPr>
              <w:tabs>
                <w:tab w:val="left" w:pos="1350"/>
              </w:tabs>
              <w:jc w:val="right"/>
            </w:pPr>
            <w:r>
              <w:t>31,181</w:t>
            </w:r>
          </w:p>
        </w:tc>
      </w:tr>
      <w:tr w:rsidR="00236C9D" w:rsidRPr="00FF2493" w:rsidTr="00945364">
        <w:trPr>
          <w:trHeight w:val="369"/>
        </w:trPr>
        <w:tc>
          <w:tcPr>
            <w:tcW w:w="3208" w:type="dxa"/>
            <w:shd w:val="clear" w:color="auto" w:fill="auto"/>
          </w:tcPr>
          <w:p w:rsidR="00236C9D" w:rsidRPr="00503BF4" w:rsidRDefault="00236C9D" w:rsidP="0075138D">
            <w:pPr>
              <w:ind w:right="386"/>
            </w:pPr>
            <w:r w:rsidRPr="00503BF4">
              <w:t xml:space="preserve">Tariff adjustment </w:t>
            </w:r>
            <w:r w:rsidRPr="00882E39">
              <w:t>(negative RSG)</w:t>
            </w:r>
          </w:p>
        </w:tc>
        <w:tc>
          <w:tcPr>
            <w:tcW w:w="1470" w:type="dxa"/>
            <w:shd w:val="clear" w:color="auto" w:fill="auto"/>
          </w:tcPr>
          <w:p w:rsidR="00236C9D" w:rsidRPr="00503BF4" w:rsidRDefault="00236C9D" w:rsidP="00C71FB2">
            <w:pPr>
              <w:tabs>
                <w:tab w:val="left" w:pos="1404"/>
              </w:tabs>
              <w:jc w:val="right"/>
            </w:pPr>
            <w:r w:rsidRPr="00503BF4">
              <w:t>0</w:t>
            </w:r>
          </w:p>
        </w:tc>
        <w:tc>
          <w:tcPr>
            <w:tcW w:w="1507" w:type="dxa"/>
            <w:shd w:val="clear" w:color="auto" w:fill="auto"/>
          </w:tcPr>
          <w:p w:rsidR="00236C9D" w:rsidRPr="00503BF4" w:rsidRDefault="00236C9D" w:rsidP="00C71FB2">
            <w:pPr>
              <w:jc w:val="right"/>
            </w:pPr>
            <w:r w:rsidRPr="00503BF4">
              <w:t>0</w:t>
            </w:r>
          </w:p>
        </w:tc>
        <w:tc>
          <w:tcPr>
            <w:tcW w:w="1470" w:type="dxa"/>
            <w:shd w:val="clear" w:color="auto" w:fill="auto"/>
          </w:tcPr>
          <w:p w:rsidR="00236C9D" w:rsidRPr="00503BF4" w:rsidRDefault="00236C9D" w:rsidP="00236C9D">
            <w:pPr>
              <w:ind w:right="-6"/>
              <w:jc w:val="right"/>
            </w:pPr>
            <w:r w:rsidRPr="00503BF4">
              <w:t>(295)</w:t>
            </w:r>
          </w:p>
        </w:tc>
        <w:tc>
          <w:tcPr>
            <w:tcW w:w="1490" w:type="dxa"/>
            <w:shd w:val="clear" w:color="auto" w:fill="auto"/>
          </w:tcPr>
          <w:p w:rsidR="00236C9D" w:rsidRPr="00503BF4" w:rsidRDefault="00236C9D" w:rsidP="00C71FB2">
            <w:pPr>
              <w:tabs>
                <w:tab w:val="left" w:pos="1350"/>
              </w:tabs>
              <w:jc w:val="right"/>
            </w:pPr>
            <w:r>
              <w:t>-</w:t>
            </w:r>
          </w:p>
        </w:tc>
      </w:tr>
      <w:tr w:rsidR="00236C9D" w:rsidRPr="00FF2493" w:rsidTr="00945364">
        <w:trPr>
          <w:trHeight w:val="369"/>
        </w:trPr>
        <w:tc>
          <w:tcPr>
            <w:tcW w:w="3208" w:type="dxa"/>
            <w:shd w:val="clear" w:color="auto" w:fill="auto"/>
          </w:tcPr>
          <w:p w:rsidR="00236C9D" w:rsidRPr="00503BF4" w:rsidRDefault="00236C9D" w:rsidP="00C71FB2">
            <w:pPr>
              <w:ind w:right="386"/>
            </w:pPr>
            <w:r w:rsidRPr="00503BF4">
              <w:lastRenderedPageBreak/>
              <w:t>Safety net threshold (92.5% baseline)</w:t>
            </w:r>
          </w:p>
        </w:tc>
        <w:tc>
          <w:tcPr>
            <w:tcW w:w="1470" w:type="dxa"/>
            <w:shd w:val="clear" w:color="auto" w:fill="auto"/>
          </w:tcPr>
          <w:p w:rsidR="00236C9D" w:rsidRPr="00503BF4" w:rsidRDefault="00236C9D" w:rsidP="00236C9D">
            <w:pPr>
              <w:tabs>
                <w:tab w:val="left" w:pos="1404"/>
              </w:tabs>
              <w:jc w:val="right"/>
            </w:pPr>
            <w:r w:rsidRPr="00503BF4">
              <w:t>5,</w:t>
            </w:r>
            <w:r>
              <w:t>411</w:t>
            </w:r>
          </w:p>
        </w:tc>
        <w:tc>
          <w:tcPr>
            <w:tcW w:w="1507" w:type="dxa"/>
            <w:shd w:val="clear" w:color="auto" w:fill="auto"/>
          </w:tcPr>
          <w:p w:rsidR="00236C9D" w:rsidRPr="00503BF4" w:rsidRDefault="00236C9D" w:rsidP="00236C9D">
            <w:pPr>
              <w:jc w:val="right"/>
            </w:pPr>
            <w:r w:rsidRPr="00503BF4">
              <w:t>5,</w:t>
            </w:r>
            <w:r>
              <w:t>578</w:t>
            </w:r>
          </w:p>
        </w:tc>
        <w:tc>
          <w:tcPr>
            <w:tcW w:w="1470" w:type="dxa"/>
            <w:shd w:val="clear" w:color="auto" w:fill="auto"/>
          </w:tcPr>
          <w:p w:rsidR="00236C9D" w:rsidRPr="00503BF4" w:rsidRDefault="00236C9D" w:rsidP="00236C9D">
            <w:pPr>
              <w:ind w:right="-6"/>
              <w:jc w:val="right"/>
            </w:pPr>
            <w:r w:rsidRPr="00503BF4">
              <w:t>5,</w:t>
            </w:r>
            <w:r>
              <w:t>781</w:t>
            </w:r>
          </w:p>
        </w:tc>
        <w:tc>
          <w:tcPr>
            <w:tcW w:w="1490" w:type="dxa"/>
            <w:shd w:val="clear" w:color="auto" w:fill="auto"/>
          </w:tcPr>
          <w:p w:rsidR="00236C9D" w:rsidRPr="00503BF4" w:rsidRDefault="00236C9D" w:rsidP="00236C9D">
            <w:pPr>
              <w:tabs>
                <w:tab w:val="left" w:pos="1350"/>
              </w:tabs>
              <w:jc w:val="right"/>
            </w:pPr>
            <w:r w:rsidRPr="00503BF4">
              <w:t>5,</w:t>
            </w:r>
            <w:r>
              <w:t>897</w:t>
            </w:r>
          </w:p>
        </w:tc>
      </w:tr>
    </w:tbl>
    <w:p w:rsidR="0070180F" w:rsidRDefault="0070180F" w:rsidP="00B864B7">
      <w:pPr>
        <w:spacing w:after="200"/>
        <w:ind w:left="720" w:hanging="720"/>
        <w:rPr>
          <w:rFonts w:eastAsia="Calibri" w:cs="Arial"/>
        </w:rPr>
      </w:pPr>
    </w:p>
    <w:p w:rsidR="00F45D14" w:rsidRPr="00F45D14" w:rsidRDefault="0092168E" w:rsidP="00F45D14">
      <w:pPr>
        <w:pStyle w:val="ListParagraph"/>
        <w:rPr>
          <w:rFonts w:eastAsia="Calibri" w:cs="Arial"/>
        </w:rPr>
      </w:pPr>
      <w:r w:rsidRPr="00F45D14">
        <w:rPr>
          <w:rFonts w:eastAsia="Calibri"/>
        </w:rPr>
        <w:t>Unlike Revenue Support Grant there is no four year offer from the Government for Tariffs. From 1/4/2020 there will be a re-basing of all the figures when the Government introduces 100%</w:t>
      </w:r>
      <w:r w:rsidR="00A6076B" w:rsidRPr="00F45D14">
        <w:rPr>
          <w:rFonts w:eastAsia="Calibri"/>
        </w:rPr>
        <w:t xml:space="preserve"> business rate</w:t>
      </w:r>
      <w:r w:rsidR="000017A0" w:rsidRPr="00F45D14">
        <w:rPr>
          <w:rFonts w:eastAsia="Calibri"/>
        </w:rPr>
        <w:t xml:space="preserve"> retention.</w:t>
      </w:r>
      <w:r w:rsidR="00A6076B" w:rsidRPr="00F45D14">
        <w:rPr>
          <w:rFonts w:eastAsia="Calibri"/>
        </w:rPr>
        <w:t xml:space="preserve"> </w:t>
      </w:r>
      <w:r w:rsidR="00042A94" w:rsidRPr="00F45D14">
        <w:rPr>
          <w:rFonts w:eastAsia="Calibri"/>
        </w:rPr>
        <w:t xml:space="preserve"> Th</w:t>
      </w:r>
      <w:r w:rsidR="00474058" w:rsidRPr="00F45D14">
        <w:rPr>
          <w:rFonts w:eastAsia="Calibri"/>
        </w:rPr>
        <w:t>is will be coupled with</w:t>
      </w:r>
      <w:r w:rsidR="00042A94" w:rsidRPr="00F45D14">
        <w:rPr>
          <w:rFonts w:eastAsia="Calibri"/>
        </w:rPr>
        <w:t xml:space="preserve"> new burdens on local Government but it is unclear as </w:t>
      </w:r>
      <w:r w:rsidR="00474058" w:rsidRPr="00F45D14">
        <w:rPr>
          <w:rFonts w:eastAsia="Calibri"/>
        </w:rPr>
        <w:t xml:space="preserve">yet </w:t>
      </w:r>
      <w:r w:rsidR="00042A94" w:rsidRPr="00F45D14">
        <w:rPr>
          <w:rFonts w:eastAsia="Calibri"/>
        </w:rPr>
        <w:t>what these will be.</w:t>
      </w:r>
      <w:r w:rsidR="002E61E2" w:rsidRPr="00F45D14">
        <w:rPr>
          <w:rFonts w:eastAsia="Calibri"/>
        </w:rPr>
        <w:t xml:space="preserve"> It is possible that this re-basing will take place in 2019 </w:t>
      </w:r>
      <w:r w:rsidR="00806B28" w:rsidRPr="00F45D14">
        <w:rPr>
          <w:rFonts w:eastAsia="Calibri"/>
        </w:rPr>
        <w:t>and additionally it is important to note that it is likely that any baseline will take account of the increased income from Westgate</w:t>
      </w:r>
      <w:r w:rsidR="00EC5EFF" w:rsidRPr="00F45D14">
        <w:rPr>
          <w:rFonts w:eastAsia="Calibri"/>
        </w:rPr>
        <w:t>, all of which</w:t>
      </w:r>
      <w:r w:rsidR="00806B28" w:rsidRPr="00F45D14">
        <w:rPr>
          <w:rFonts w:eastAsia="Calibri"/>
        </w:rPr>
        <w:t xml:space="preserve"> mak</w:t>
      </w:r>
      <w:r w:rsidR="00EC5EFF" w:rsidRPr="00F45D14">
        <w:rPr>
          <w:rFonts w:eastAsia="Calibri"/>
        </w:rPr>
        <w:t>e</w:t>
      </w:r>
      <w:r w:rsidR="00806B28" w:rsidRPr="00F45D14">
        <w:rPr>
          <w:rFonts w:eastAsia="Calibri"/>
        </w:rPr>
        <w:t xml:space="preserve"> the calculation of future retained business rates uncertain. </w:t>
      </w:r>
    </w:p>
    <w:p w:rsidR="00F45D14" w:rsidRDefault="00F45D14" w:rsidP="00F45D14">
      <w:pPr>
        <w:ind w:left="360"/>
        <w:rPr>
          <w:rFonts w:eastAsia="Calibri" w:cs="Arial"/>
          <w:b/>
        </w:rPr>
      </w:pPr>
    </w:p>
    <w:p w:rsidR="005B5052" w:rsidRPr="00F45D14" w:rsidRDefault="005B5052" w:rsidP="00F45D14">
      <w:pPr>
        <w:ind w:left="360"/>
        <w:rPr>
          <w:rFonts w:eastAsia="Calibri" w:cs="Arial"/>
        </w:rPr>
      </w:pPr>
      <w:r w:rsidRPr="00F45D14">
        <w:rPr>
          <w:rFonts w:eastAsia="Calibri" w:cs="Arial"/>
          <w:b/>
        </w:rPr>
        <w:t>Business Rates Distribution Group</w:t>
      </w:r>
    </w:p>
    <w:p w:rsidR="00706D1F" w:rsidRDefault="005B5052" w:rsidP="00F45D14">
      <w:pPr>
        <w:pStyle w:val="ListParagraph"/>
        <w:rPr>
          <w:rFonts w:eastAsia="Calibri"/>
        </w:rPr>
      </w:pPr>
      <w:r w:rsidRPr="005B5052">
        <w:rPr>
          <w:rFonts w:eastAsia="Calibri"/>
        </w:rPr>
        <w:t xml:space="preserve">The chief financial officers of the Oxfordshire councils have agreed that it would be sensible for the Pool’s membership to be set to maximise its income for the good of Oxfordshire. They have also agreed that councils who would benefit from being in a pool (because the levy on business rates growth </w:t>
      </w:r>
      <w:r w:rsidR="003A5C8F" w:rsidRPr="005B5052">
        <w:rPr>
          <w:rFonts w:eastAsia="Calibri"/>
        </w:rPr>
        <w:t xml:space="preserve">would be less </w:t>
      </w:r>
      <w:r w:rsidRPr="005B5052">
        <w:rPr>
          <w:rFonts w:eastAsia="Calibri"/>
        </w:rPr>
        <w:t xml:space="preserve">than if </w:t>
      </w:r>
      <w:r w:rsidR="004637AC">
        <w:rPr>
          <w:rFonts w:eastAsia="Calibri"/>
        </w:rPr>
        <w:t>they were</w:t>
      </w:r>
      <w:r w:rsidRPr="005B5052">
        <w:rPr>
          <w:rFonts w:eastAsia="Calibri"/>
        </w:rPr>
        <w:t xml:space="preserve"> outside the Pool) should not be excluded from sharing in the additional income generated by the Pool just because in any year their membership would not generate the optimum retained income for the Pool. It should be noted that whilst authorities would share in the benefits they would also take on some of the risk of Pool losses not covered by </w:t>
      </w:r>
      <w:r w:rsidR="006B2609">
        <w:rPr>
          <w:rFonts w:eastAsia="Calibri"/>
        </w:rPr>
        <w:t xml:space="preserve">the </w:t>
      </w:r>
      <w:r w:rsidRPr="005B5052">
        <w:rPr>
          <w:rFonts w:eastAsia="Calibri"/>
        </w:rPr>
        <w:t>safety net.</w:t>
      </w:r>
    </w:p>
    <w:p w:rsidR="00F45D14" w:rsidRPr="005B5052" w:rsidRDefault="00F45D14" w:rsidP="00F45D14">
      <w:pPr>
        <w:pStyle w:val="ListParagraph"/>
        <w:numPr>
          <w:ilvl w:val="0"/>
          <w:numId w:val="0"/>
        </w:numPr>
        <w:ind w:left="360"/>
        <w:rPr>
          <w:rFonts w:eastAsia="Calibri"/>
        </w:rPr>
      </w:pPr>
    </w:p>
    <w:p w:rsidR="00706D1F" w:rsidRDefault="009225D3" w:rsidP="00030F4B">
      <w:pPr>
        <w:pStyle w:val="ListParagraph"/>
        <w:rPr>
          <w:rFonts w:eastAsia="Calibri"/>
        </w:rPr>
      </w:pPr>
      <w:r>
        <w:rPr>
          <w:rFonts w:eastAsia="Calibri"/>
        </w:rPr>
        <w:t>It is recommended that t</w:t>
      </w:r>
      <w:r w:rsidR="005B5052" w:rsidRPr="005B5052">
        <w:rPr>
          <w:rFonts w:eastAsia="Calibri"/>
        </w:rPr>
        <w:t>he decision to join the Business Rates Distribution Group is delegated to the Section 151 Officer in consultation with the Executive Member for Finance</w:t>
      </w:r>
      <w:r w:rsidR="004D763D">
        <w:rPr>
          <w:rFonts w:eastAsia="Calibri"/>
        </w:rPr>
        <w:t xml:space="preserve">, </w:t>
      </w:r>
      <w:r w:rsidR="005B5052" w:rsidRPr="005B5052">
        <w:rPr>
          <w:rFonts w:eastAsia="Calibri"/>
        </w:rPr>
        <w:t>Asset</w:t>
      </w:r>
      <w:r w:rsidR="00096293" w:rsidRPr="00096293">
        <w:t xml:space="preserve"> </w:t>
      </w:r>
      <w:r w:rsidR="00096293" w:rsidRPr="007E4168">
        <w:t>Management and Public Health</w:t>
      </w:r>
      <w:r w:rsidR="005B5052" w:rsidRPr="005B5052">
        <w:rPr>
          <w:rFonts w:eastAsia="Calibri"/>
        </w:rPr>
        <w:t xml:space="preserve"> once business rates estimates for 201</w:t>
      </w:r>
      <w:r w:rsidR="00236C9D">
        <w:rPr>
          <w:rFonts w:eastAsia="Calibri"/>
        </w:rPr>
        <w:t>7</w:t>
      </w:r>
      <w:r w:rsidR="005B5052" w:rsidRPr="005B5052">
        <w:rPr>
          <w:rFonts w:eastAsia="Calibri"/>
        </w:rPr>
        <w:t>-1</w:t>
      </w:r>
      <w:r w:rsidR="00236C9D">
        <w:rPr>
          <w:rFonts w:eastAsia="Calibri"/>
        </w:rPr>
        <w:t>8</w:t>
      </w:r>
      <w:r w:rsidR="005B5052" w:rsidRPr="005B5052">
        <w:rPr>
          <w:rFonts w:eastAsia="Calibri"/>
        </w:rPr>
        <w:t xml:space="preserve"> are known for all Districts within Oxfordshire</w:t>
      </w:r>
      <w:r w:rsidR="006B2609">
        <w:rPr>
          <w:rFonts w:eastAsia="Calibri"/>
        </w:rPr>
        <w:t>.</w:t>
      </w:r>
    </w:p>
    <w:p w:rsidR="00030F4B" w:rsidRPr="00030F4B" w:rsidRDefault="00030F4B" w:rsidP="00030F4B">
      <w:pPr>
        <w:pStyle w:val="ListParagraph"/>
        <w:numPr>
          <w:ilvl w:val="0"/>
          <w:numId w:val="0"/>
        </w:numPr>
        <w:ind w:left="360"/>
        <w:rPr>
          <w:rFonts w:eastAsia="Calibri"/>
        </w:rPr>
      </w:pPr>
    </w:p>
    <w:p w:rsidR="00826488" w:rsidRPr="00917771" w:rsidRDefault="00826488" w:rsidP="00030F4B">
      <w:pPr>
        <w:pStyle w:val="ListParagraph"/>
      </w:pPr>
      <w:r w:rsidRPr="00917771">
        <w:t xml:space="preserve">The </w:t>
      </w:r>
      <w:r w:rsidR="00750D1B" w:rsidRPr="00917771">
        <w:t xml:space="preserve">summary </w:t>
      </w:r>
      <w:r w:rsidRPr="00917771">
        <w:t xml:space="preserve">effect of </w:t>
      </w:r>
      <w:r w:rsidR="002E29C2" w:rsidRPr="00917771">
        <w:t xml:space="preserve">the </w:t>
      </w:r>
      <w:r w:rsidR="009225D3">
        <w:t xml:space="preserve">Provisional </w:t>
      </w:r>
      <w:r w:rsidR="00750D1B" w:rsidRPr="00917771">
        <w:t xml:space="preserve">Finance Settlement </w:t>
      </w:r>
      <w:r w:rsidR="002E29C2" w:rsidRPr="00917771">
        <w:t xml:space="preserve">compared </w:t>
      </w:r>
      <w:r w:rsidRPr="00917771">
        <w:t xml:space="preserve">to the Consultation Budget is shown </w:t>
      </w:r>
      <w:r w:rsidR="00B314C1">
        <w:t xml:space="preserve">in Table 4 </w:t>
      </w:r>
      <w:r w:rsidRPr="00917771">
        <w:t>below</w:t>
      </w:r>
      <w:r w:rsidR="00B314C1">
        <w:t>:</w:t>
      </w:r>
      <w:r w:rsidRPr="00917771">
        <w:t xml:space="preserve"> </w:t>
      </w:r>
    </w:p>
    <w:p w:rsidR="00096293" w:rsidRPr="00FF2493" w:rsidRDefault="00096293" w:rsidP="00B16E72">
      <w:pPr>
        <w:spacing w:after="120"/>
        <w:ind w:left="1440" w:right="386" w:hanging="720"/>
        <w:jc w:val="both"/>
        <w:rPr>
          <w:highlight w:val="yellow"/>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1470"/>
        <w:gridCol w:w="1507"/>
        <w:gridCol w:w="1470"/>
        <w:gridCol w:w="1490"/>
      </w:tblGrid>
      <w:tr w:rsidR="00826488" w:rsidRPr="00FF2493" w:rsidTr="00042A94">
        <w:trPr>
          <w:trHeight w:val="528"/>
        </w:trPr>
        <w:tc>
          <w:tcPr>
            <w:tcW w:w="9145" w:type="dxa"/>
            <w:gridSpan w:val="5"/>
            <w:shd w:val="clear" w:color="auto" w:fill="D9D9D9"/>
          </w:tcPr>
          <w:p w:rsidR="00826488" w:rsidRPr="0092168E" w:rsidRDefault="00DB5D5E" w:rsidP="00895AE4">
            <w:pPr>
              <w:spacing w:after="120"/>
              <w:ind w:right="386"/>
              <w:rPr>
                <w:b/>
              </w:rPr>
            </w:pPr>
            <w:r w:rsidRPr="0092168E">
              <w:rPr>
                <w:b/>
              </w:rPr>
              <w:t xml:space="preserve">Table </w:t>
            </w:r>
            <w:r w:rsidR="00895AE4">
              <w:rPr>
                <w:b/>
              </w:rPr>
              <w:t>4</w:t>
            </w:r>
            <w:r w:rsidR="00826488" w:rsidRPr="0092168E">
              <w:rPr>
                <w:b/>
              </w:rPr>
              <w:t xml:space="preserve"> Change In </w:t>
            </w:r>
            <w:r w:rsidR="00796DA4" w:rsidRPr="0092168E">
              <w:rPr>
                <w:b/>
              </w:rPr>
              <w:t>External Funding</w:t>
            </w:r>
            <w:r w:rsidR="00826488" w:rsidRPr="0092168E">
              <w:rPr>
                <w:b/>
              </w:rPr>
              <w:t xml:space="preserve"> since Consultation Budget</w:t>
            </w:r>
          </w:p>
        </w:tc>
      </w:tr>
      <w:tr w:rsidR="00236C9D" w:rsidRPr="00FF2493" w:rsidTr="00042A94">
        <w:trPr>
          <w:trHeight w:val="500"/>
        </w:trPr>
        <w:tc>
          <w:tcPr>
            <w:tcW w:w="3208" w:type="dxa"/>
            <w:shd w:val="clear" w:color="auto" w:fill="D9D9D9"/>
          </w:tcPr>
          <w:p w:rsidR="00236C9D" w:rsidRPr="0092168E" w:rsidRDefault="00236C9D" w:rsidP="00440B9C">
            <w:pPr>
              <w:spacing w:after="120"/>
              <w:ind w:right="386"/>
              <w:jc w:val="both"/>
              <w:rPr>
                <w:b/>
              </w:rPr>
            </w:pPr>
          </w:p>
        </w:tc>
        <w:tc>
          <w:tcPr>
            <w:tcW w:w="1470" w:type="dxa"/>
            <w:shd w:val="clear" w:color="auto" w:fill="D9D9D9"/>
          </w:tcPr>
          <w:p w:rsidR="00236C9D" w:rsidRPr="0092168E" w:rsidRDefault="00236C9D" w:rsidP="005A5B60">
            <w:pPr>
              <w:spacing w:after="120"/>
              <w:ind w:right="386"/>
              <w:jc w:val="center"/>
              <w:rPr>
                <w:b/>
              </w:rPr>
            </w:pPr>
            <w:r w:rsidRPr="0092168E">
              <w:rPr>
                <w:b/>
              </w:rPr>
              <w:t xml:space="preserve">2017/18 </w:t>
            </w:r>
          </w:p>
          <w:p w:rsidR="00236C9D" w:rsidRPr="0092168E" w:rsidRDefault="00236C9D" w:rsidP="005A5B60">
            <w:pPr>
              <w:spacing w:after="120"/>
              <w:ind w:right="386"/>
              <w:jc w:val="center"/>
              <w:rPr>
                <w:b/>
              </w:rPr>
            </w:pPr>
          </w:p>
        </w:tc>
        <w:tc>
          <w:tcPr>
            <w:tcW w:w="1507" w:type="dxa"/>
            <w:shd w:val="clear" w:color="auto" w:fill="D9D9D9"/>
          </w:tcPr>
          <w:p w:rsidR="00236C9D" w:rsidRPr="0092168E" w:rsidRDefault="00236C9D" w:rsidP="005A5B60">
            <w:pPr>
              <w:spacing w:after="120"/>
              <w:ind w:right="386"/>
              <w:jc w:val="center"/>
              <w:rPr>
                <w:b/>
              </w:rPr>
            </w:pPr>
            <w:r w:rsidRPr="0092168E">
              <w:rPr>
                <w:b/>
              </w:rPr>
              <w:t xml:space="preserve">2018/19 </w:t>
            </w:r>
          </w:p>
          <w:p w:rsidR="00236C9D" w:rsidRPr="0092168E" w:rsidRDefault="00236C9D" w:rsidP="005A5B60">
            <w:pPr>
              <w:spacing w:after="120"/>
              <w:ind w:right="386"/>
              <w:jc w:val="center"/>
              <w:rPr>
                <w:b/>
              </w:rPr>
            </w:pPr>
          </w:p>
        </w:tc>
        <w:tc>
          <w:tcPr>
            <w:tcW w:w="1470" w:type="dxa"/>
            <w:shd w:val="clear" w:color="auto" w:fill="D9D9D9"/>
          </w:tcPr>
          <w:p w:rsidR="00236C9D" w:rsidRPr="0092168E" w:rsidRDefault="00236C9D" w:rsidP="005A5B60">
            <w:pPr>
              <w:spacing w:after="120"/>
              <w:ind w:right="386"/>
              <w:jc w:val="center"/>
              <w:rPr>
                <w:b/>
              </w:rPr>
            </w:pPr>
            <w:r w:rsidRPr="0092168E">
              <w:rPr>
                <w:b/>
              </w:rPr>
              <w:t xml:space="preserve">2019/20 </w:t>
            </w:r>
          </w:p>
          <w:p w:rsidR="00236C9D" w:rsidRPr="0092168E" w:rsidRDefault="00236C9D" w:rsidP="005A5B60">
            <w:pPr>
              <w:spacing w:after="120"/>
              <w:ind w:right="386"/>
              <w:jc w:val="center"/>
              <w:rPr>
                <w:b/>
              </w:rPr>
            </w:pPr>
          </w:p>
        </w:tc>
        <w:tc>
          <w:tcPr>
            <w:tcW w:w="1490" w:type="dxa"/>
            <w:shd w:val="clear" w:color="auto" w:fill="D9D9D9"/>
          </w:tcPr>
          <w:p w:rsidR="00236C9D" w:rsidRPr="0092168E" w:rsidRDefault="00236C9D" w:rsidP="00937B50">
            <w:pPr>
              <w:spacing w:after="120"/>
              <w:ind w:right="386"/>
              <w:jc w:val="center"/>
              <w:rPr>
                <w:b/>
              </w:rPr>
            </w:pPr>
            <w:r w:rsidRPr="0092168E">
              <w:rPr>
                <w:b/>
              </w:rPr>
              <w:t>20</w:t>
            </w:r>
            <w:r>
              <w:rPr>
                <w:b/>
              </w:rPr>
              <w:t>20</w:t>
            </w:r>
            <w:r w:rsidRPr="0092168E">
              <w:rPr>
                <w:b/>
              </w:rPr>
              <w:t>/2</w:t>
            </w:r>
            <w:r>
              <w:rPr>
                <w:b/>
              </w:rPr>
              <w:t>1</w:t>
            </w:r>
            <w:r w:rsidRPr="0092168E">
              <w:rPr>
                <w:b/>
              </w:rPr>
              <w:t xml:space="preserve"> </w:t>
            </w:r>
          </w:p>
          <w:p w:rsidR="00236C9D" w:rsidRPr="0092168E" w:rsidRDefault="00236C9D" w:rsidP="00937B50">
            <w:pPr>
              <w:spacing w:after="120"/>
              <w:ind w:right="386"/>
              <w:jc w:val="center"/>
              <w:rPr>
                <w:b/>
              </w:rPr>
            </w:pPr>
          </w:p>
        </w:tc>
      </w:tr>
      <w:tr w:rsidR="00236C9D" w:rsidRPr="00FF2493" w:rsidTr="00440B9C">
        <w:tc>
          <w:tcPr>
            <w:tcW w:w="3208" w:type="dxa"/>
            <w:shd w:val="clear" w:color="auto" w:fill="D9D9D9"/>
          </w:tcPr>
          <w:p w:rsidR="00236C9D" w:rsidRPr="0092168E" w:rsidRDefault="00236C9D" w:rsidP="00440B9C">
            <w:pPr>
              <w:spacing w:after="120"/>
              <w:ind w:right="386"/>
              <w:jc w:val="both"/>
              <w:rPr>
                <w:b/>
              </w:rPr>
            </w:pPr>
          </w:p>
        </w:tc>
        <w:tc>
          <w:tcPr>
            <w:tcW w:w="1470" w:type="dxa"/>
            <w:shd w:val="clear" w:color="auto" w:fill="D9D9D9"/>
          </w:tcPr>
          <w:p w:rsidR="00236C9D" w:rsidRPr="0092168E" w:rsidRDefault="00236C9D" w:rsidP="00440B9C">
            <w:pPr>
              <w:spacing w:after="120"/>
              <w:ind w:right="386"/>
              <w:jc w:val="center"/>
              <w:rPr>
                <w:b/>
              </w:rPr>
            </w:pPr>
            <w:r w:rsidRPr="0092168E">
              <w:rPr>
                <w:b/>
              </w:rPr>
              <w:t>£000’s</w:t>
            </w:r>
          </w:p>
        </w:tc>
        <w:tc>
          <w:tcPr>
            <w:tcW w:w="1507" w:type="dxa"/>
            <w:shd w:val="clear" w:color="auto" w:fill="D9D9D9"/>
          </w:tcPr>
          <w:p w:rsidR="00236C9D" w:rsidRPr="0092168E" w:rsidRDefault="00236C9D" w:rsidP="00440B9C">
            <w:pPr>
              <w:spacing w:after="120"/>
              <w:ind w:right="386"/>
              <w:jc w:val="center"/>
              <w:rPr>
                <w:b/>
              </w:rPr>
            </w:pPr>
            <w:r w:rsidRPr="0092168E">
              <w:rPr>
                <w:b/>
              </w:rPr>
              <w:t>£000’s</w:t>
            </w:r>
          </w:p>
        </w:tc>
        <w:tc>
          <w:tcPr>
            <w:tcW w:w="1470" w:type="dxa"/>
            <w:shd w:val="clear" w:color="auto" w:fill="D9D9D9"/>
          </w:tcPr>
          <w:p w:rsidR="00236C9D" w:rsidRPr="0092168E" w:rsidRDefault="00236C9D" w:rsidP="00440B9C">
            <w:pPr>
              <w:spacing w:after="120"/>
              <w:ind w:right="386"/>
              <w:jc w:val="center"/>
              <w:rPr>
                <w:b/>
              </w:rPr>
            </w:pPr>
            <w:r w:rsidRPr="0092168E">
              <w:rPr>
                <w:b/>
              </w:rPr>
              <w:t>£000’s</w:t>
            </w:r>
          </w:p>
        </w:tc>
        <w:tc>
          <w:tcPr>
            <w:tcW w:w="1490" w:type="dxa"/>
            <w:shd w:val="clear" w:color="auto" w:fill="D9D9D9"/>
          </w:tcPr>
          <w:p w:rsidR="00236C9D" w:rsidRPr="0092168E" w:rsidRDefault="00236C9D" w:rsidP="00440B9C">
            <w:pPr>
              <w:spacing w:after="120"/>
              <w:ind w:right="386"/>
              <w:jc w:val="center"/>
              <w:rPr>
                <w:b/>
              </w:rPr>
            </w:pPr>
            <w:r w:rsidRPr="0092168E">
              <w:rPr>
                <w:b/>
              </w:rPr>
              <w:t>£000’s</w:t>
            </w:r>
          </w:p>
        </w:tc>
      </w:tr>
      <w:tr w:rsidR="00236C9D" w:rsidRPr="00FF2493" w:rsidTr="00440B9C">
        <w:tc>
          <w:tcPr>
            <w:tcW w:w="3208" w:type="dxa"/>
            <w:shd w:val="clear" w:color="auto" w:fill="auto"/>
          </w:tcPr>
          <w:p w:rsidR="00236C9D" w:rsidRPr="0092168E" w:rsidRDefault="00236C9D" w:rsidP="003B0605">
            <w:pPr>
              <w:spacing w:after="120"/>
              <w:ind w:right="386"/>
            </w:pPr>
            <w:r>
              <w:t>Redu</w:t>
            </w:r>
            <w:r w:rsidR="003B0605">
              <w:t>c</w:t>
            </w:r>
            <w:r>
              <w:t>tion</w:t>
            </w:r>
            <w:r w:rsidRPr="0092168E">
              <w:t xml:space="preserve"> in Revenue Support Grant</w:t>
            </w:r>
          </w:p>
        </w:tc>
        <w:tc>
          <w:tcPr>
            <w:tcW w:w="1470" w:type="dxa"/>
            <w:shd w:val="clear" w:color="auto" w:fill="auto"/>
          </w:tcPr>
          <w:p w:rsidR="00236C9D" w:rsidRPr="00236C9D" w:rsidRDefault="00236C9D" w:rsidP="00B82D91">
            <w:pPr>
              <w:spacing w:after="120"/>
              <w:jc w:val="right"/>
            </w:pPr>
            <w:r w:rsidRPr="00236C9D">
              <w:t>55</w:t>
            </w:r>
          </w:p>
        </w:tc>
        <w:tc>
          <w:tcPr>
            <w:tcW w:w="1507" w:type="dxa"/>
            <w:shd w:val="clear" w:color="auto" w:fill="auto"/>
          </w:tcPr>
          <w:p w:rsidR="00236C9D" w:rsidRPr="00236C9D" w:rsidRDefault="00236C9D" w:rsidP="00236C9D">
            <w:pPr>
              <w:spacing w:after="120"/>
              <w:jc w:val="right"/>
            </w:pPr>
            <w:r w:rsidRPr="00236C9D">
              <w:t>0</w:t>
            </w:r>
          </w:p>
        </w:tc>
        <w:tc>
          <w:tcPr>
            <w:tcW w:w="1470" w:type="dxa"/>
            <w:shd w:val="clear" w:color="auto" w:fill="auto"/>
          </w:tcPr>
          <w:p w:rsidR="00236C9D" w:rsidRPr="00236C9D" w:rsidRDefault="00236C9D" w:rsidP="00236C9D">
            <w:pPr>
              <w:spacing w:after="120"/>
              <w:jc w:val="right"/>
            </w:pPr>
            <w:r w:rsidRPr="00236C9D">
              <w:t>0</w:t>
            </w:r>
          </w:p>
        </w:tc>
        <w:tc>
          <w:tcPr>
            <w:tcW w:w="1490" w:type="dxa"/>
            <w:shd w:val="clear" w:color="auto" w:fill="auto"/>
          </w:tcPr>
          <w:p w:rsidR="00236C9D" w:rsidRPr="00236C9D" w:rsidRDefault="00236C9D" w:rsidP="00236C9D">
            <w:pPr>
              <w:spacing w:after="120"/>
              <w:jc w:val="right"/>
            </w:pPr>
            <w:r w:rsidRPr="00236C9D">
              <w:t>0</w:t>
            </w:r>
          </w:p>
        </w:tc>
      </w:tr>
      <w:tr w:rsidR="00236C9D" w:rsidRPr="00FF2493" w:rsidTr="00440B9C">
        <w:tc>
          <w:tcPr>
            <w:tcW w:w="3208" w:type="dxa"/>
            <w:shd w:val="clear" w:color="auto" w:fill="auto"/>
          </w:tcPr>
          <w:p w:rsidR="00236C9D" w:rsidRPr="0092168E" w:rsidRDefault="00236C9D" w:rsidP="00236C9D">
            <w:pPr>
              <w:spacing w:after="120"/>
              <w:ind w:right="386"/>
            </w:pPr>
            <w:r>
              <w:t xml:space="preserve">Reduction </w:t>
            </w:r>
            <w:r w:rsidRPr="0092168E">
              <w:t xml:space="preserve"> in Business Rates</w:t>
            </w:r>
          </w:p>
        </w:tc>
        <w:tc>
          <w:tcPr>
            <w:tcW w:w="1470" w:type="dxa"/>
            <w:shd w:val="clear" w:color="auto" w:fill="auto"/>
          </w:tcPr>
          <w:p w:rsidR="00236C9D" w:rsidRPr="00236C9D" w:rsidRDefault="00236C9D" w:rsidP="00B82D91">
            <w:pPr>
              <w:spacing w:after="120"/>
              <w:ind w:right="34"/>
              <w:jc w:val="right"/>
            </w:pPr>
            <w:r w:rsidRPr="00236C9D">
              <w:t>170</w:t>
            </w:r>
          </w:p>
        </w:tc>
        <w:tc>
          <w:tcPr>
            <w:tcW w:w="1507" w:type="dxa"/>
            <w:shd w:val="clear" w:color="auto" w:fill="auto"/>
          </w:tcPr>
          <w:p w:rsidR="00236C9D" w:rsidRPr="00236C9D" w:rsidRDefault="00236C9D" w:rsidP="00B82D91">
            <w:pPr>
              <w:spacing w:after="120"/>
              <w:jc w:val="right"/>
            </w:pPr>
            <w:r w:rsidRPr="00236C9D">
              <w:t>158</w:t>
            </w:r>
          </w:p>
        </w:tc>
        <w:tc>
          <w:tcPr>
            <w:tcW w:w="1470" w:type="dxa"/>
            <w:shd w:val="clear" w:color="auto" w:fill="auto"/>
          </w:tcPr>
          <w:p w:rsidR="00236C9D" w:rsidRPr="00236C9D" w:rsidRDefault="00236C9D" w:rsidP="00B82D91">
            <w:pPr>
              <w:spacing w:after="120"/>
              <w:jc w:val="right"/>
            </w:pPr>
            <w:r w:rsidRPr="00236C9D">
              <w:t>133</w:t>
            </w:r>
          </w:p>
        </w:tc>
        <w:tc>
          <w:tcPr>
            <w:tcW w:w="1490" w:type="dxa"/>
            <w:shd w:val="clear" w:color="auto" w:fill="auto"/>
          </w:tcPr>
          <w:p w:rsidR="00236C9D" w:rsidRPr="00236C9D" w:rsidRDefault="00236C9D" w:rsidP="00B82D91">
            <w:pPr>
              <w:spacing w:after="120"/>
              <w:jc w:val="right"/>
            </w:pPr>
            <w:r w:rsidRPr="00236C9D">
              <w:t>135</w:t>
            </w:r>
          </w:p>
        </w:tc>
      </w:tr>
      <w:tr w:rsidR="00236C9D" w:rsidRPr="00FF2493" w:rsidTr="00344878">
        <w:trPr>
          <w:trHeight w:val="369"/>
        </w:trPr>
        <w:tc>
          <w:tcPr>
            <w:tcW w:w="3208" w:type="dxa"/>
            <w:shd w:val="clear" w:color="auto" w:fill="auto"/>
          </w:tcPr>
          <w:p w:rsidR="00236C9D" w:rsidRPr="0092168E" w:rsidRDefault="00236C9D" w:rsidP="00440B9C">
            <w:pPr>
              <w:spacing w:after="120"/>
              <w:ind w:right="386"/>
              <w:jc w:val="both"/>
              <w:rPr>
                <w:b/>
              </w:rPr>
            </w:pPr>
            <w:r w:rsidRPr="0092168E">
              <w:rPr>
                <w:b/>
              </w:rPr>
              <w:t>Net Variation</w:t>
            </w:r>
          </w:p>
        </w:tc>
        <w:tc>
          <w:tcPr>
            <w:tcW w:w="1470" w:type="dxa"/>
            <w:shd w:val="clear" w:color="auto" w:fill="auto"/>
          </w:tcPr>
          <w:p w:rsidR="00236C9D" w:rsidRPr="0092168E" w:rsidRDefault="00236C9D" w:rsidP="00B82D91">
            <w:pPr>
              <w:spacing w:after="120"/>
              <w:ind w:right="34"/>
              <w:jc w:val="right"/>
              <w:rPr>
                <w:b/>
              </w:rPr>
            </w:pPr>
            <w:r>
              <w:rPr>
                <w:b/>
              </w:rPr>
              <w:t>225</w:t>
            </w:r>
          </w:p>
        </w:tc>
        <w:tc>
          <w:tcPr>
            <w:tcW w:w="1507" w:type="dxa"/>
            <w:shd w:val="clear" w:color="auto" w:fill="auto"/>
          </w:tcPr>
          <w:p w:rsidR="00236C9D" w:rsidRPr="0092168E" w:rsidRDefault="00236C9D" w:rsidP="00B82D91">
            <w:pPr>
              <w:spacing w:after="120"/>
              <w:ind w:right="123"/>
              <w:jc w:val="right"/>
              <w:rPr>
                <w:b/>
              </w:rPr>
            </w:pPr>
            <w:r>
              <w:rPr>
                <w:b/>
              </w:rPr>
              <w:t>158</w:t>
            </w:r>
          </w:p>
        </w:tc>
        <w:tc>
          <w:tcPr>
            <w:tcW w:w="1470" w:type="dxa"/>
            <w:shd w:val="clear" w:color="auto" w:fill="auto"/>
          </w:tcPr>
          <w:p w:rsidR="00236C9D" w:rsidRPr="0092168E" w:rsidRDefault="00236C9D" w:rsidP="00B82D91">
            <w:pPr>
              <w:spacing w:after="120"/>
              <w:ind w:right="34"/>
              <w:jc w:val="right"/>
              <w:rPr>
                <w:b/>
              </w:rPr>
            </w:pPr>
            <w:r>
              <w:rPr>
                <w:b/>
              </w:rPr>
              <w:t>133</w:t>
            </w:r>
          </w:p>
        </w:tc>
        <w:tc>
          <w:tcPr>
            <w:tcW w:w="1490" w:type="dxa"/>
            <w:shd w:val="clear" w:color="auto" w:fill="auto"/>
          </w:tcPr>
          <w:p w:rsidR="00236C9D" w:rsidRPr="0092168E" w:rsidRDefault="00236C9D" w:rsidP="00B82D91">
            <w:pPr>
              <w:tabs>
                <w:tab w:val="left" w:pos="1167"/>
              </w:tabs>
              <w:spacing w:after="120"/>
              <w:ind w:right="107"/>
              <w:jc w:val="right"/>
              <w:rPr>
                <w:b/>
              </w:rPr>
            </w:pPr>
            <w:r>
              <w:rPr>
                <w:b/>
              </w:rPr>
              <w:t>135</w:t>
            </w:r>
          </w:p>
        </w:tc>
      </w:tr>
    </w:tbl>
    <w:p w:rsidR="00826488" w:rsidRDefault="00826488" w:rsidP="00042A94">
      <w:pPr>
        <w:spacing w:after="120"/>
        <w:ind w:left="1440" w:right="386" w:hanging="720"/>
        <w:rPr>
          <w:highlight w:val="yellow"/>
        </w:rPr>
      </w:pPr>
    </w:p>
    <w:p w:rsidR="00B16E72" w:rsidRPr="00917771" w:rsidRDefault="00B16E72" w:rsidP="00030F4B">
      <w:pPr>
        <w:pStyle w:val="Heading1"/>
      </w:pPr>
      <w:r w:rsidRPr="00917771">
        <w:t>New Homes Bonus</w:t>
      </w:r>
    </w:p>
    <w:p w:rsidR="00030F4B" w:rsidRPr="00030F4B" w:rsidRDefault="00C53613" w:rsidP="00030F4B">
      <w:pPr>
        <w:pStyle w:val="ListParagraph"/>
        <w:rPr>
          <w:color w:val="323232"/>
          <w:sz w:val="22"/>
          <w:szCs w:val="28"/>
        </w:rPr>
      </w:pPr>
      <w:r w:rsidRPr="00917771">
        <w:rPr>
          <w:lang w:val="en"/>
        </w:rPr>
        <w:t>New Homes Bonus</w:t>
      </w:r>
      <w:r w:rsidR="00B229C6">
        <w:rPr>
          <w:lang w:val="en"/>
        </w:rPr>
        <w:t xml:space="preserve"> (NHB)</w:t>
      </w:r>
      <w:r w:rsidRPr="00917771">
        <w:rPr>
          <w:lang w:val="en"/>
        </w:rPr>
        <w:t xml:space="preserve"> is </w:t>
      </w:r>
      <w:r w:rsidR="00A6076B" w:rsidRPr="00917771">
        <w:rPr>
          <w:lang w:val="en"/>
        </w:rPr>
        <w:t xml:space="preserve">currently </w:t>
      </w:r>
      <w:r w:rsidRPr="00917771">
        <w:rPr>
          <w:lang w:val="en"/>
        </w:rPr>
        <w:t>paid each year for 6 years. It</w:t>
      </w:r>
      <w:r w:rsidR="007A73F2">
        <w:rPr>
          <w:lang w:val="en"/>
        </w:rPr>
        <w:t xml:space="preserve"> i</w:t>
      </w:r>
      <w:r w:rsidRPr="00917771">
        <w:rPr>
          <w:lang w:val="en"/>
        </w:rPr>
        <w:t xml:space="preserve">s based on the amount of </w:t>
      </w:r>
      <w:r w:rsidR="00A61290">
        <w:rPr>
          <w:lang w:val="en"/>
        </w:rPr>
        <w:t>additional</w:t>
      </w:r>
      <w:r w:rsidRPr="00917771">
        <w:rPr>
          <w:lang w:val="en"/>
        </w:rPr>
        <w:t xml:space="preserve"> Council Tax revenue raised for new-build homes, conversions and long-term empty homes brought back into use. There is also an extra payment for providing affordable homes. </w:t>
      </w:r>
      <w:r w:rsidR="003B0605">
        <w:rPr>
          <w:lang w:val="en"/>
        </w:rPr>
        <w:t>A consultation on NHB ended in March 2016 and on</w:t>
      </w:r>
      <w:r w:rsidRPr="00917771">
        <w:rPr>
          <w:lang w:val="en"/>
        </w:rPr>
        <w:t xml:space="preserve"> 1</w:t>
      </w:r>
      <w:r w:rsidR="008E33E1" w:rsidRPr="00917771">
        <w:rPr>
          <w:lang w:val="en"/>
        </w:rPr>
        <w:t>7</w:t>
      </w:r>
      <w:r w:rsidRPr="00917771">
        <w:rPr>
          <w:lang w:val="en"/>
        </w:rPr>
        <w:t xml:space="preserve"> </w:t>
      </w:r>
      <w:r w:rsidRPr="00917771">
        <w:rPr>
          <w:lang w:val="en"/>
        </w:rPr>
        <w:lastRenderedPageBreak/>
        <w:t>December 201</w:t>
      </w:r>
      <w:r w:rsidR="00236C9D">
        <w:rPr>
          <w:lang w:val="en"/>
        </w:rPr>
        <w:t>6</w:t>
      </w:r>
      <w:r w:rsidRPr="00917771">
        <w:rPr>
          <w:lang w:val="en"/>
        </w:rPr>
        <w:t xml:space="preserve"> local authorities were issued with their provisional allocations for 201</w:t>
      </w:r>
      <w:r w:rsidR="00236C9D">
        <w:rPr>
          <w:lang w:val="en"/>
        </w:rPr>
        <w:t>7</w:t>
      </w:r>
      <w:r w:rsidRPr="00917771">
        <w:rPr>
          <w:lang w:val="en"/>
        </w:rPr>
        <w:t>-1</w:t>
      </w:r>
      <w:r w:rsidR="00236C9D">
        <w:rPr>
          <w:lang w:val="en"/>
        </w:rPr>
        <w:t>8</w:t>
      </w:r>
      <w:r w:rsidR="003B0605">
        <w:rPr>
          <w:lang w:val="en"/>
        </w:rPr>
        <w:t>.</w:t>
      </w:r>
    </w:p>
    <w:p w:rsidR="00917771" w:rsidRPr="00917771" w:rsidRDefault="00A61290" w:rsidP="00030F4B">
      <w:pPr>
        <w:pStyle w:val="ListParagraph"/>
        <w:numPr>
          <w:ilvl w:val="0"/>
          <w:numId w:val="0"/>
        </w:numPr>
        <w:ind w:left="360"/>
        <w:rPr>
          <w:color w:val="323232"/>
          <w:sz w:val="22"/>
          <w:szCs w:val="28"/>
        </w:rPr>
      </w:pPr>
      <w:r>
        <w:rPr>
          <w:lang w:val="en"/>
        </w:rPr>
        <w:t xml:space="preserve"> </w:t>
      </w:r>
      <w:r w:rsidR="00143CAE">
        <w:rPr>
          <w:rFonts w:eastAsia="Calibri" w:cs="Arial"/>
        </w:rPr>
        <w:t xml:space="preserve"> </w:t>
      </w:r>
    </w:p>
    <w:p w:rsidR="00917771" w:rsidRDefault="00917771" w:rsidP="00030F4B">
      <w:pPr>
        <w:pStyle w:val="ListParagraph"/>
        <w:rPr>
          <w:rFonts w:eastAsia="Calibri"/>
        </w:rPr>
      </w:pPr>
      <w:r w:rsidRPr="003B0605">
        <w:rPr>
          <w:rFonts w:eastAsia="Calibri"/>
        </w:rPr>
        <w:t xml:space="preserve">The amounts for Oxford City compared to the assumptions in the </w:t>
      </w:r>
      <w:r w:rsidR="007A73F2" w:rsidRPr="003B0605">
        <w:rPr>
          <w:rFonts w:eastAsia="Calibri"/>
        </w:rPr>
        <w:t>MTFS</w:t>
      </w:r>
      <w:r w:rsidRPr="003B0605">
        <w:rPr>
          <w:rFonts w:eastAsia="Calibri"/>
        </w:rPr>
        <w:t xml:space="preserve"> are show</w:t>
      </w:r>
      <w:r w:rsidR="007A73F2" w:rsidRPr="003B0605">
        <w:rPr>
          <w:rFonts w:eastAsia="Calibri"/>
        </w:rPr>
        <w:t>n</w:t>
      </w:r>
      <w:r w:rsidRPr="003B0605">
        <w:rPr>
          <w:rFonts w:eastAsia="Calibri"/>
        </w:rPr>
        <w:t xml:space="preserve"> </w:t>
      </w:r>
      <w:r w:rsidR="00772D62" w:rsidRPr="003B0605">
        <w:rPr>
          <w:rFonts w:eastAsia="Calibri"/>
        </w:rPr>
        <w:t xml:space="preserve">in Table 5 </w:t>
      </w:r>
      <w:r w:rsidRPr="003B0605">
        <w:rPr>
          <w:rFonts w:eastAsia="Calibri"/>
        </w:rPr>
        <w:t>below:</w:t>
      </w:r>
      <w:r w:rsidRPr="00917771">
        <w:rPr>
          <w:rFonts w:eastAsia="Calibri"/>
        </w:rPr>
        <w:t xml:space="preserve"> </w:t>
      </w:r>
    </w:p>
    <w:p w:rsidR="003B0605" w:rsidRDefault="003B0605" w:rsidP="00917771">
      <w:pPr>
        <w:ind w:left="720" w:hanging="720"/>
        <w:rPr>
          <w:rFonts w:eastAsia="Calibri"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417"/>
        <w:gridCol w:w="1560"/>
        <w:gridCol w:w="1417"/>
        <w:gridCol w:w="1276"/>
      </w:tblGrid>
      <w:tr w:rsidR="00895AE4" w:rsidRPr="00917771" w:rsidTr="000F3187">
        <w:tc>
          <w:tcPr>
            <w:tcW w:w="9356" w:type="dxa"/>
            <w:gridSpan w:val="5"/>
          </w:tcPr>
          <w:p w:rsidR="00895AE4" w:rsidRPr="00917771" w:rsidRDefault="00895AE4" w:rsidP="00772D62">
            <w:pPr>
              <w:tabs>
                <w:tab w:val="left" w:pos="1350"/>
              </w:tabs>
              <w:rPr>
                <w:b/>
              </w:rPr>
            </w:pPr>
            <w:r>
              <w:rPr>
                <w:b/>
              </w:rPr>
              <w:t xml:space="preserve">Table 5 : New Homes Bonus </w:t>
            </w:r>
            <w:r w:rsidR="00772D62">
              <w:rPr>
                <w:b/>
              </w:rPr>
              <w:t>E</w:t>
            </w:r>
            <w:r>
              <w:rPr>
                <w:b/>
              </w:rPr>
              <w:t>stimates</w:t>
            </w:r>
          </w:p>
        </w:tc>
      </w:tr>
      <w:tr w:rsidR="00236C9D" w:rsidRPr="00917771" w:rsidTr="003E46CF">
        <w:tc>
          <w:tcPr>
            <w:tcW w:w="3686" w:type="dxa"/>
          </w:tcPr>
          <w:p w:rsidR="00236C9D" w:rsidRPr="00917771" w:rsidRDefault="00236C9D" w:rsidP="00917771">
            <w:pPr>
              <w:ind w:right="386"/>
              <w:rPr>
                <w:b/>
              </w:rPr>
            </w:pPr>
            <w:r w:rsidRPr="00917771">
              <w:rPr>
                <w:b/>
              </w:rPr>
              <w:t>New Homes Bonus</w:t>
            </w:r>
          </w:p>
        </w:tc>
        <w:tc>
          <w:tcPr>
            <w:tcW w:w="1417" w:type="dxa"/>
            <w:shd w:val="clear" w:color="auto" w:fill="BFBFBF"/>
          </w:tcPr>
          <w:p w:rsidR="00236C9D" w:rsidRPr="00917771" w:rsidRDefault="00236C9D" w:rsidP="005A5B60">
            <w:pPr>
              <w:jc w:val="center"/>
              <w:rPr>
                <w:b/>
              </w:rPr>
            </w:pPr>
            <w:r w:rsidRPr="00917771">
              <w:rPr>
                <w:b/>
              </w:rPr>
              <w:t>2017/18</w:t>
            </w:r>
            <w:r>
              <w:rPr>
                <w:b/>
              </w:rPr>
              <w:t xml:space="preserve"> </w:t>
            </w:r>
          </w:p>
        </w:tc>
        <w:tc>
          <w:tcPr>
            <w:tcW w:w="1560" w:type="dxa"/>
            <w:shd w:val="clear" w:color="auto" w:fill="BFBFBF"/>
          </w:tcPr>
          <w:p w:rsidR="00236C9D" w:rsidRDefault="00236C9D" w:rsidP="005A5B60">
            <w:pPr>
              <w:ind w:right="-6"/>
              <w:jc w:val="center"/>
              <w:rPr>
                <w:b/>
              </w:rPr>
            </w:pPr>
            <w:r w:rsidRPr="00917771">
              <w:rPr>
                <w:b/>
              </w:rPr>
              <w:t>2018/19</w:t>
            </w:r>
            <w:r>
              <w:rPr>
                <w:b/>
              </w:rPr>
              <w:t xml:space="preserve"> </w:t>
            </w:r>
          </w:p>
          <w:p w:rsidR="00236C9D" w:rsidRPr="00917771" w:rsidRDefault="00236C9D" w:rsidP="005A5B60">
            <w:pPr>
              <w:ind w:right="-6"/>
              <w:jc w:val="center"/>
              <w:rPr>
                <w:b/>
              </w:rPr>
            </w:pPr>
          </w:p>
        </w:tc>
        <w:tc>
          <w:tcPr>
            <w:tcW w:w="1417" w:type="dxa"/>
            <w:shd w:val="clear" w:color="auto" w:fill="BFBFBF"/>
          </w:tcPr>
          <w:p w:rsidR="00236C9D" w:rsidRPr="00917771" w:rsidRDefault="00236C9D" w:rsidP="005A5B60">
            <w:pPr>
              <w:tabs>
                <w:tab w:val="left" w:pos="1350"/>
              </w:tabs>
              <w:jc w:val="center"/>
              <w:rPr>
                <w:b/>
              </w:rPr>
            </w:pPr>
            <w:r w:rsidRPr="00917771">
              <w:rPr>
                <w:b/>
              </w:rPr>
              <w:t>2019/20</w:t>
            </w:r>
            <w:r>
              <w:rPr>
                <w:b/>
              </w:rPr>
              <w:t xml:space="preserve">  </w:t>
            </w:r>
          </w:p>
        </w:tc>
        <w:tc>
          <w:tcPr>
            <w:tcW w:w="1276" w:type="dxa"/>
            <w:shd w:val="clear" w:color="auto" w:fill="BFBFBF"/>
          </w:tcPr>
          <w:p w:rsidR="00236C9D" w:rsidRPr="00917771" w:rsidRDefault="00236C9D" w:rsidP="00236C9D">
            <w:pPr>
              <w:tabs>
                <w:tab w:val="left" w:pos="1350"/>
              </w:tabs>
              <w:jc w:val="center"/>
              <w:rPr>
                <w:b/>
              </w:rPr>
            </w:pPr>
            <w:r w:rsidRPr="00917771">
              <w:rPr>
                <w:b/>
              </w:rPr>
              <w:t>20</w:t>
            </w:r>
            <w:r>
              <w:rPr>
                <w:b/>
              </w:rPr>
              <w:t>20</w:t>
            </w:r>
            <w:r w:rsidRPr="00917771">
              <w:rPr>
                <w:b/>
              </w:rPr>
              <w:t>/2</w:t>
            </w:r>
            <w:r>
              <w:rPr>
                <w:b/>
              </w:rPr>
              <w:t xml:space="preserve">1  </w:t>
            </w:r>
          </w:p>
        </w:tc>
      </w:tr>
      <w:tr w:rsidR="00236C9D" w:rsidRPr="00917771" w:rsidTr="003E46CF">
        <w:tc>
          <w:tcPr>
            <w:tcW w:w="3686" w:type="dxa"/>
          </w:tcPr>
          <w:p w:rsidR="00236C9D" w:rsidRPr="00917771" w:rsidRDefault="00236C9D" w:rsidP="00917771">
            <w:pPr>
              <w:ind w:right="386"/>
            </w:pPr>
          </w:p>
        </w:tc>
        <w:tc>
          <w:tcPr>
            <w:tcW w:w="1417" w:type="dxa"/>
            <w:shd w:val="clear" w:color="auto" w:fill="BFBFBF"/>
          </w:tcPr>
          <w:p w:rsidR="00236C9D" w:rsidRPr="00917771" w:rsidRDefault="00236C9D" w:rsidP="00917771">
            <w:pPr>
              <w:tabs>
                <w:tab w:val="left" w:pos="1404"/>
              </w:tabs>
              <w:jc w:val="center"/>
              <w:rPr>
                <w:b/>
              </w:rPr>
            </w:pPr>
            <w:r w:rsidRPr="00917771">
              <w:rPr>
                <w:b/>
              </w:rPr>
              <w:t>£000’s</w:t>
            </w:r>
          </w:p>
        </w:tc>
        <w:tc>
          <w:tcPr>
            <w:tcW w:w="1560" w:type="dxa"/>
            <w:shd w:val="clear" w:color="auto" w:fill="BFBFBF"/>
          </w:tcPr>
          <w:p w:rsidR="00236C9D" w:rsidRPr="00917771" w:rsidRDefault="00236C9D" w:rsidP="00917771">
            <w:pPr>
              <w:jc w:val="center"/>
              <w:rPr>
                <w:b/>
              </w:rPr>
            </w:pPr>
            <w:r w:rsidRPr="00917771">
              <w:rPr>
                <w:b/>
              </w:rPr>
              <w:t>£000’s</w:t>
            </w:r>
          </w:p>
        </w:tc>
        <w:tc>
          <w:tcPr>
            <w:tcW w:w="1417" w:type="dxa"/>
            <w:shd w:val="clear" w:color="auto" w:fill="BFBFBF"/>
          </w:tcPr>
          <w:p w:rsidR="00236C9D" w:rsidRPr="00917771" w:rsidRDefault="00236C9D" w:rsidP="00917771">
            <w:pPr>
              <w:ind w:right="-6"/>
              <w:jc w:val="center"/>
              <w:rPr>
                <w:b/>
              </w:rPr>
            </w:pPr>
            <w:r w:rsidRPr="00917771">
              <w:rPr>
                <w:b/>
              </w:rPr>
              <w:t>£000’s</w:t>
            </w:r>
          </w:p>
        </w:tc>
        <w:tc>
          <w:tcPr>
            <w:tcW w:w="1276" w:type="dxa"/>
            <w:shd w:val="clear" w:color="auto" w:fill="BFBFBF"/>
          </w:tcPr>
          <w:p w:rsidR="00236C9D" w:rsidRPr="00917771" w:rsidRDefault="00236C9D" w:rsidP="00917771">
            <w:pPr>
              <w:tabs>
                <w:tab w:val="left" w:pos="1350"/>
              </w:tabs>
              <w:jc w:val="center"/>
              <w:rPr>
                <w:b/>
              </w:rPr>
            </w:pPr>
            <w:r w:rsidRPr="00917771">
              <w:rPr>
                <w:b/>
              </w:rPr>
              <w:t>£000’s</w:t>
            </w:r>
          </w:p>
        </w:tc>
      </w:tr>
      <w:tr w:rsidR="00236C9D" w:rsidRPr="00917771" w:rsidTr="003E46CF">
        <w:tc>
          <w:tcPr>
            <w:tcW w:w="3686" w:type="dxa"/>
          </w:tcPr>
          <w:p w:rsidR="00236C9D" w:rsidRPr="00917771" w:rsidRDefault="00236C9D" w:rsidP="00917771">
            <w:pPr>
              <w:ind w:right="386"/>
            </w:pPr>
            <w:r>
              <w:t>Consultation Budget</w:t>
            </w:r>
          </w:p>
        </w:tc>
        <w:tc>
          <w:tcPr>
            <w:tcW w:w="1417" w:type="dxa"/>
          </w:tcPr>
          <w:p w:rsidR="00236C9D" w:rsidRPr="00917771" w:rsidRDefault="003B0605" w:rsidP="00917771">
            <w:pPr>
              <w:tabs>
                <w:tab w:val="left" w:pos="1404"/>
              </w:tabs>
              <w:jc w:val="right"/>
            </w:pPr>
            <w:r>
              <w:t>1,338</w:t>
            </w:r>
          </w:p>
        </w:tc>
        <w:tc>
          <w:tcPr>
            <w:tcW w:w="1560" w:type="dxa"/>
          </w:tcPr>
          <w:p w:rsidR="00236C9D" w:rsidRPr="00917771" w:rsidRDefault="003B0605" w:rsidP="00917771">
            <w:pPr>
              <w:jc w:val="right"/>
            </w:pPr>
            <w:r>
              <w:t>1,671</w:t>
            </w:r>
          </w:p>
        </w:tc>
        <w:tc>
          <w:tcPr>
            <w:tcW w:w="1417" w:type="dxa"/>
          </w:tcPr>
          <w:p w:rsidR="00236C9D" w:rsidRPr="00917771" w:rsidRDefault="003B0605" w:rsidP="00917771">
            <w:pPr>
              <w:ind w:right="-6"/>
              <w:jc w:val="right"/>
            </w:pPr>
            <w:r>
              <w:t>1,784</w:t>
            </w:r>
          </w:p>
        </w:tc>
        <w:tc>
          <w:tcPr>
            <w:tcW w:w="1276" w:type="dxa"/>
          </w:tcPr>
          <w:p w:rsidR="00236C9D" w:rsidRPr="00917771" w:rsidRDefault="003B0605" w:rsidP="00917771">
            <w:pPr>
              <w:tabs>
                <w:tab w:val="left" w:pos="1350"/>
              </w:tabs>
              <w:jc w:val="right"/>
            </w:pPr>
            <w:r>
              <w:t>1,835</w:t>
            </w:r>
          </w:p>
        </w:tc>
      </w:tr>
      <w:tr w:rsidR="00236C9D" w:rsidRPr="00917771" w:rsidTr="003E46CF">
        <w:tc>
          <w:tcPr>
            <w:tcW w:w="3686" w:type="dxa"/>
          </w:tcPr>
          <w:p w:rsidR="00236C9D" w:rsidRPr="00917771" w:rsidRDefault="00236C9D" w:rsidP="00772D62">
            <w:pPr>
              <w:ind w:right="386"/>
            </w:pPr>
            <w:r>
              <w:t xml:space="preserve">Provisional Finance Settlement </w:t>
            </w:r>
          </w:p>
        </w:tc>
        <w:tc>
          <w:tcPr>
            <w:tcW w:w="1417" w:type="dxa"/>
          </w:tcPr>
          <w:p w:rsidR="00236C9D" w:rsidRPr="00917771" w:rsidRDefault="003B0605" w:rsidP="00917771">
            <w:pPr>
              <w:tabs>
                <w:tab w:val="left" w:pos="1404"/>
              </w:tabs>
              <w:jc w:val="right"/>
            </w:pPr>
            <w:r>
              <w:t>1,981</w:t>
            </w:r>
          </w:p>
        </w:tc>
        <w:tc>
          <w:tcPr>
            <w:tcW w:w="1560" w:type="dxa"/>
          </w:tcPr>
          <w:p w:rsidR="00236C9D" w:rsidRPr="00917771" w:rsidRDefault="003B0605" w:rsidP="0063041B">
            <w:pPr>
              <w:jc w:val="right"/>
            </w:pPr>
            <w:r>
              <w:t>1,749</w:t>
            </w:r>
          </w:p>
        </w:tc>
        <w:tc>
          <w:tcPr>
            <w:tcW w:w="1417" w:type="dxa"/>
          </w:tcPr>
          <w:p w:rsidR="00236C9D" w:rsidRPr="00917771" w:rsidRDefault="003B0605" w:rsidP="00917771">
            <w:pPr>
              <w:ind w:right="-6"/>
              <w:jc w:val="right"/>
            </w:pPr>
            <w:r>
              <w:t>1,624</w:t>
            </w:r>
          </w:p>
        </w:tc>
        <w:tc>
          <w:tcPr>
            <w:tcW w:w="1276" w:type="dxa"/>
          </w:tcPr>
          <w:p w:rsidR="00236C9D" w:rsidRPr="00917771" w:rsidRDefault="003B0605" w:rsidP="00917771">
            <w:pPr>
              <w:tabs>
                <w:tab w:val="left" w:pos="1350"/>
              </w:tabs>
              <w:jc w:val="right"/>
            </w:pPr>
            <w:r>
              <w:t>1,428</w:t>
            </w:r>
          </w:p>
        </w:tc>
      </w:tr>
      <w:tr w:rsidR="00236C9D" w:rsidRPr="000F3187" w:rsidTr="003E46CF">
        <w:tc>
          <w:tcPr>
            <w:tcW w:w="3686" w:type="dxa"/>
          </w:tcPr>
          <w:p w:rsidR="00236C9D" w:rsidRPr="000F3187" w:rsidRDefault="00B83CDE" w:rsidP="00B83CDE">
            <w:pPr>
              <w:ind w:right="386"/>
              <w:rPr>
                <w:b/>
              </w:rPr>
            </w:pPr>
            <w:r>
              <w:rPr>
                <w:b/>
              </w:rPr>
              <w:t>(</w:t>
            </w:r>
            <w:r w:rsidR="003B0605">
              <w:rPr>
                <w:b/>
              </w:rPr>
              <w:t>Increase</w:t>
            </w:r>
            <w:r>
              <w:rPr>
                <w:b/>
              </w:rPr>
              <w:t>)</w:t>
            </w:r>
            <w:r w:rsidR="003B0605">
              <w:rPr>
                <w:b/>
              </w:rPr>
              <w:t>/ Decrease</w:t>
            </w:r>
          </w:p>
        </w:tc>
        <w:tc>
          <w:tcPr>
            <w:tcW w:w="1417" w:type="dxa"/>
          </w:tcPr>
          <w:p w:rsidR="00236C9D" w:rsidRPr="000F3187" w:rsidRDefault="00B83CDE" w:rsidP="00917771">
            <w:pPr>
              <w:tabs>
                <w:tab w:val="left" w:pos="1404"/>
              </w:tabs>
              <w:jc w:val="right"/>
              <w:rPr>
                <w:b/>
              </w:rPr>
            </w:pPr>
            <w:r>
              <w:rPr>
                <w:b/>
              </w:rPr>
              <w:t>(</w:t>
            </w:r>
            <w:r w:rsidR="003B0605">
              <w:rPr>
                <w:b/>
              </w:rPr>
              <w:t>643</w:t>
            </w:r>
            <w:r>
              <w:rPr>
                <w:b/>
              </w:rPr>
              <w:t>)</w:t>
            </w:r>
          </w:p>
        </w:tc>
        <w:tc>
          <w:tcPr>
            <w:tcW w:w="1560" w:type="dxa"/>
          </w:tcPr>
          <w:p w:rsidR="00236C9D" w:rsidRPr="000F3187" w:rsidRDefault="00B83CDE" w:rsidP="0063041B">
            <w:pPr>
              <w:jc w:val="right"/>
              <w:rPr>
                <w:b/>
              </w:rPr>
            </w:pPr>
            <w:r>
              <w:rPr>
                <w:b/>
              </w:rPr>
              <w:t>(</w:t>
            </w:r>
            <w:r w:rsidR="003B0605">
              <w:rPr>
                <w:b/>
              </w:rPr>
              <w:t>78</w:t>
            </w:r>
            <w:r>
              <w:rPr>
                <w:b/>
              </w:rPr>
              <w:t>)</w:t>
            </w:r>
          </w:p>
        </w:tc>
        <w:tc>
          <w:tcPr>
            <w:tcW w:w="1417" w:type="dxa"/>
          </w:tcPr>
          <w:p w:rsidR="00236C9D" w:rsidRPr="000F3187" w:rsidRDefault="003B0605" w:rsidP="00B83CDE">
            <w:pPr>
              <w:ind w:right="-6"/>
              <w:jc w:val="right"/>
              <w:rPr>
                <w:b/>
              </w:rPr>
            </w:pPr>
            <w:r>
              <w:rPr>
                <w:b/>
              </w:rPr>
              <w:t>160</w:t>
            </w:r>
          </w:p>
        </w:tc>
        <w:tc>
          <w:tcPr>
            <w:tcW w:w="1276" w:type="dxa"/>
          </w:tcPr>
          <w:p w:rsidR="00236C9D" w:rsidRPr="000F3187" w:rsidRDefault="003B0605" w:rsidP="00B83CDE">
            <w:pPr>
              <w:tabs>
                <w:tab w:val="left" w:pos="1350"/>
              </w:tabs>
              <w:jc w:val="right"/>
              <w:rPr>
                <w:b/>
              </w:rPr>
            </w:pPr>
            <w:r>
              <w:rPr>
                <w:b/>
              </w:rPr>
              <w:t>407</w:t>
            </w:r>
          </w:p>
        </w:tc>
      </w:tr>
    </w:tbl>
    <w:p w:rsidR="00917771" w:rsidRPr="00917771" w:rsidRDefault="00917771" w:rsidP="00917771">
      <w:pPr>
        <w:ind w:left="426" w:hanging="426"/>
        <w:rPr>
          <w:rFonts w:eastAsia="Calibri" w:cs="Arial"/>
        </w:rPr>
      </w:pPr>
    </w:p>
    <w:p w:rsidR="003B0605" w:rsidRPr="003B0605" w:rsidRDefault="0048078D" w:rsidP="00030F4B">
      <w:pPr>
        <w:pStyle w:val="ListParagraph"/>
      </w:pPr>
      <w:r>
        <w:t xml:space="preserve">The </w:t>
      </w:r>
      <w:r w:rsidR="003B0605" w:rsidRPr="003B0605">
        <w:t>outcome of the consultation</w:t>
      </w:r>
      <w:r w:rsidR="00E313BE">
        <w:t xml:space="preserve"> </w:t>
      </w:r>
      <w:r w:rsidR="00090350">
        <w:t xml:space="preserve">on NHB </w:t>
      </w:r>
      <w:r w:rsidR="00E313BE">
        <w:t>is that</w:t>
      </w:r>
      <w:r w:rsidR="00090350">
        <w:t>:</w:t>
      </w:r>
    </w:p>
    <w:p w:rsidR="003B0605" w:rsidRPr="003B0605" w:rsidRDefault="003B0605" w:rsidP="00030F4B">
      <w:pPr>
        <w:numPr>
          <w:ilvl w:val="0"/>
          <w:numId w:val="11"/>
        </w:numPr>
        <w:spacing w:before="120" w:after="120" w:line="300" w:lineRule="exact"/>
        <w:ind w:left="426" w:hanging="357"/>
        <w:jc w:val="both"/>
        <w:rPr>
          <w:color w:val="323232"/>
        </w:rPr>
      </w:pPr>
      <w:r w:rsidRPr="003B0605">
        <w:rPr>
          <w:color w:val="323232"/>
        </w:rPr>
        <w:t>Funding is reduced by £241m in 2017/18 (funding remains at pre-announced levels for 2018/19 and 2019/20).</w:t>
      </w:r>
    </w:p>
    <w:p w:rsidR="003B0605" w:rsidRPr="003B0605" w:rsidRDefault="003B0605" w:rsidP="00030F4B">
      <w:pPr>
        <w:numPr>
          <w:ilvl w:val="0"/>
          <w:numId w:val="11"/>
        </w:numPr>
        <w:spacing w:before="120" w:after="120" w:line="300" w:lineRule="exact"/>
        <w:ind w:left="426" w:hanging="357"/>
        <w:jc w:val="both"/>
        <w:rPr>
          <w:color w:val="323232"/>
        </w:rPr>
      </w:pPr>
      <w:r w:rsidRPr="003B0605">
        <w:rPr>
          <w:color w:val="323232"/>
        </w:rPr>
        <w:t>Funding will be reduced from 6 years to 5 years</w:t>
      </w:r>
      <w:r w:rsidR="00B94092">
        <w:rPr>
          <w:color w:val="323232"/>
        </w:rPr>
        <w:t xml:space="preserve"> </w:t>
      </w:r>
      <w:r w:rsidRPr="003B0605">
        <w:rPr>
          <w:color w:val="323232"/>
        </w:rPr>
        <w:t>in 2017/18</w:t>
      </w:r>
    </w:p>
    <w:p w:rsidR="003B0605" w:rsidRPr="00B94092" w:rsidRDefault="003B0605" w:rsidP="00030F4B">
      <w:pPr>
        <w:numPr>
          <w:ilvl w:val="0"/>
          <w:numId w:val="11"/>
        </w:numPr>
        <w:spacing w:before="120" w:after="120" w:line="300" w:lineRule="exact"/>
        <w:ind w:left="426" w:hanging="357"/>
        <w:jc w:val="both"/>
        <w:rPr>
          <w:color w:val="323232"/>
          <w:lang w:eastAsia="en-GB"/>
        </w:rPr>
      </w:pPr>
      <w:r w:rsidRPr="00B94092">
        <w:rPr>
          <w:color w:val="323232"/>
        </w:rPr>
        <w:t>Funding will then reduce to 4 years</w:t>
      </w:r>
      <w:r w:rsidR="00B94092" w:rsidRPr="00B94092">
        <w:rPr>
          <w:color w:val="323232"/>
        </w:rPr>
        <w:t xml:space="preserve"> </w:t>
      </w:r>
      <w:r w:rsidRPr="00B94092">
        <w:rPr>
          <w:color w:val="323232"/>
          <w:lang w:eastAsia="en-GB"/>
        </w:rPr>
        <w:t xml:space="preserve">From 2018/19, the government will consider withholding payments from local authorities that are not </w:t>
      </w:r>
      <w:r w:rsidRPr="00B94092">
        <w:rPr>
          <w:i/>
          <w:color w:val="323232"/>
          <w:lang w:eastAsia="en-GB"/>
        </w:rPr>
        <w:t>“planning effectively, by making positive decisions on planning applications and delivering housing growth”.</w:t>
      </w:r>
    </w:p>
    <w:p w:rsidR="003B0605" w:rsidRPr="003B0605" w:rsidRDefault="003B0605" w:rsidP="00030F4B">
      <w:pPr>
        <w:numPr>
          <w:ilvl w:val="0"/>
          <w:numId w:val="11"/>
        </w:numPr>
        <w:spacing w:before="120" w:after="120" w:line="300" w:lineRule="exact"/>
        <w:ind w:left="709" w:hanging="357"/>
        <w:jc w:val="both"/>
        <w:rPr>
          <w:color w:val="323232"/>
          <w:lang w:eastAsia="en-GB"/>
        </w:rPr>
      </w:pPr>
      <w:r w:rsidRPr="003B0605">
        <w:rPr>
          <w:color w:val="323232"/>
          <w:lang w:eastAsia="en-GB"/>
        </w:rPr>
        <w:t>A consultation is planned regarding withholding payments for homes that are built following an app</w:t>
      </w:r>
      <w:r w:rsidR="00F045CE">
        <w:rPr>
          <w:color w:val="323232"/>
          <w:lang w:eastAsia="en-GB"/>
        </w:rPr>
        <w:t>eal</w:t>
      </w:r>
    </w:p>
    <w:p w:rsidR="003B0605" w:rsidRPr="003B0605" w:rsidRDefault="003B0605" w:rsidP="00030F4B">
      <w:pPr>
        <w:numPr>
          <w:ilvl w:val="0"/>
          <w:numId w:val="11"/>
        </w:numPr>
        <w:spacing w:before="120" w:after="120" w:line="300" w:lineRule="exact"/>
        <w:ind w:left="709"/>
        <w:jc w:val="both"/>
        <w:rPr>
          <w:color w:val="323232"/>
          <w:lang w:eastAsia="en-GB"/>
        </w:rPr>
      </w:pPr>
      <w:r w:rsidRPr="003B0605">
        <w:t>F</w:t>
      </w:r>
      <w:r w:rsidR="00090350">
        <w:t>rom</w:t>
      </w:r>
      <w:r w:rsidRPr="003B0605">
        <w:t xml:space="preserve"> 2017/18 only growth above 0.4% will attract payments (and these will be made as before, based on Band D equivalents, the national average council tax and a fixed amount for social housing)</w:t>
      </w:r>
      <w:r w:rsidR="00090350">
        <w:t>.</w:t>
      </w:r>
    </w:p>
    <w:p w:rsidR="00917771" w:rsidRPr="00084584" w:rsidRDefault="00917771" w:rsidP="00917771">
      <w:pPr>
        <w:rPr>
          <w:rFonts w:eastAsia="Calibri" w:cs="Arial"/>
          <w:b/>
        </w:rPr>
      </w:pPr>
    </w:p>
    <w:p w:rsidR="006109C3" w:rsidRPr="00084584" w:rsidRDefault="003B0605" w:rsidP="00030F4B">
      <w:pPr>
        <w:pStyle w:val="ListParagraph"/>
      </w:pPr>
      <w:r>
        <w:t xml:space="preserve">The 2018/19 and 2019/20 allocations within DCLG’s Core Spending Power are only indicative.  These are based upon authorities’ share of the 2017/18 overall allocation.   There could, therefore, be significant variances between these amounts and the actual allocations. </w:t>
      </w:r>
      <w:r w:rsidR="00EF16D3" w:rsidRPr="00084584">
        <w:t xml:space="preserve">The Council </w:t>
      </w:r>
      <w:r w:rsidR="00B94092">
        <w:t>uses</w:t>
      </w:r>
      <w:r w:rsidR="00EF16D3" w:rsidRPr="00084584">
        <w:t xml:space="preserve"> NHB to </w:t>
      </w:r>
      <w:r w:rsidR="00B94092">
        <w:t xml:space="preserve">fund </w:t>
      </w:r>
      <w:r w:rsidR="00EF16D3" w:rsidRPr="00084584">
        <w:t>Capital</w:t>
      </w:r>
      <w:r w:rsidR="00B94092">
        <w:t>;</w:t>
      </w:r>
      <w:r w:rsidR="00EF16D3" w:rsidRPr="00084584">
        <w:t xml:space="preserve"> </w:t>
      </w:r>
      <w:r w:rsidR="001F7354">
        <w:t xml:space="preserve">as it is one off expenditure and so </w:t>
      </w:r>
      <w:r w:rsidR="00EF16D3" w:rsidRPr="00084584">
        <w:t>de-risk</w:t>
      </w:r>
      <w:r w:rsidR="001F7354">
        <w:t>s</w:t>
      </w:r>
      <w:r w:rsidR="00EF16D3" w:rsidRPr="00084584">
        <w:t xml:space="preserve"> the </w:t>
      </w:r>
      <w:r w:rsidR="007A73F2">
        <w:t>MTFS</w:t>
      </w:r>
      <w:r w:rsidR="00EF16D3" w:rsidRPr="00084584">
        <w:t xml:space="preserve">. </w:t>
      </w:r>
      <w:r>
        <w:t>In the event of further reductions in NHB the Council</w:t>
      </w:r>
      <w:r w:rsidR="00F045CE">
        <w:t>’s</w:t>
      </w:r>
      <w:r>
        <w:t xml:space="preserve"> Capital Programme could be reduced or alternatively schemes funded by prudential borrowing.</w:t>
      </w:r>
    </w:p>
    <w:p w:rsidR="00030F4B" w:rsidRDefault="006109C3" w:rsidP="003B0605">
      <w:pPr>
        <w:spacing w:after="120"/>
        <w:ind w:left="709" w:right="386" w:hanging="709"/>
      </w:pPr>
      <w:r w:rsidRPr="00084584">
        <w:tab/>
      </w:r>
    </w:p>
    <w:p w:rsidR="004B331F" w:rsidRPr="00084584" w:rsidRDefault="004B331F" w:rsidP="003B0605">
      <w:pPr>
        <w:spacing w:after="120"/>
        <w:ind w:left="709" w:right="386" w:hanging="709"/>
        <w:rPr>
          <w:b/>
        </w:rPr>
      </w:pPr>
      <w:r w:rsidRPr="00084584">
        <w:rPr>
          <w:b/>
        </w:rPr>
        <w:t xml:space="preserve">Other </w:t>
      </w:r>
      <w:r w:rsidR="00153EA3">
        <w:rPr>
          <w:b/>
        </w:rPr>
        <w:t xml:space="preserve">Changes </w:t>
      </w:r>
      <w:r w:rsidRPr="00084584">
        <w:rPr>
          <w:b/>
        </w:rPr>
        <w:t xml:space="preserve">Arising </w:t>
      </w:r>
    </w:p>
    <w:p w:rsidR="003B0605" w:rsidRPr="00084584" w:rsidRDefault="0078329D" w:rsidP="00030F4B">
      <w:pPr>
        <w:pStyle w:val="ListParagraph"/>
      </w:pPr>
      <w:r w:rsidRPr="00084584">
        <w:t xml:space="preserve">A summary of </w:t>
      </w:r>
      <w:r w:rsidR="004532C8">
        <w:t>other changes</w:t>
      </w:r>
      <w:r w:rsidRPr="00084584">
        <w:t xml:space="preserve"> </w:t>
      </w:r>
      <w:r w:rsidR="00BB09B6">
        <w:t xml:space="preserve">to the Consultation Budget </w:t>
      </w:r>
      <w:r w:rsidRPr="00084584">
        <w:t>out</w:t>
      </w:r>
      <w:r w:rsidR="001869A9" w:rsidRPr="00084584">
        <w:t>s</w:t>
      </w:r>
      <w:r w:rsidRPr="00084584">
        <w:t xml:space="preserve">ide of the Finance Settlement </w:t>
      </w:r>
      <w:r w:rsidR="00BB09B6">
        <w:t>are</w:t>
      </w:r>
      <w:r w:rsidRPr="00084584">
        <w:t xml:space="preserve"> shown </w:t>
      </w:r>
      <w:r w:rsidR="00DB5D5E" w:rsidRPr="00084584">
        <w:t xml:space="preserve">in </w:t>
      </w:r>
      <w:r w:rsidR="002E29C2" w:rsidRPr="00084584">
        <w:t>T</w:t>
      </w:r>
      <w:r w:rsidR="00DB5D5E" w:rsidRPr="00084584">
        <w:t xml:space="preserve">able </w:t>
      </w:r>
      <w:r w:rsidR="00C7068D">
        <w:t>6</w:t>
      </w:r>
      <w:r w:rsidR="001869A9" w:rsidRPr="00084584">
        <w:t>.</w:t>
      </w:r>
    </w:p>
    <w:p w:rsidR="0078329D" w:rsidRPr="00084584" w:rsidRDefault="0078329D" w:rsidP="00F724B1">
      <w:pPr>
        <w:ind w:left="720"/>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417"/>
        <w:gridCol w:w="1418"/>
        <w:gridCol w:w="1417"/>
      </w:tblGrid>
      <w:tr w:rsidR="0078329D" w:rsidRPr="00084584" w:rsidTr="00044604">
        <w:tc>
          <w:tcPr>
            <w:tcW w:w="9072" w:type="dxa"/>
            <w:gridSpan w:val="5"/>
            <w:shd w:val="clear" w:color="auto" w:fill="auto"/>
          </w:tcPr>
          <w:p w:rsidR="0078329D" w:rsidRPr="00084584" w:rsidRDefault="00DB5D5E" w:rsidP="000403CF">
            <w:pPr>
              <w:spacing w:after="120"/>
              <w:ind w:right="386"/>
              <w:rPr>
                <w:b/>
              </w:rPr>
            </w:pPr>
            <w:r w:rsidRPr="00084584">
              <w:rPr>
                <w:b/>
              </w:rPr>
              <w:t xml:space="preserve">Table </w:t>
            </w:r>
            <w:r w:rsidR="00895AE4" w:rsidRPr="00084584">
              <w:rPr>
                <w:b/>
              </w:rPr>
              <w:t>6</w:t>
            </w:r>
            <w:r w:rsidR="0078329D" w:rsidRPr="00084584">
              <w:rPr>
                <w:b/>
              </w:rPr>
              <w:t xml:space="preserve"> Summary of </w:t>
            </w:r>
            <w:r w:rsidR="000403CF">
              <w:rPr>
                <w:b/>
              </w:rPr>
              <w:t>O</w:t>
            </w:r>
            <w:r w:rsidR="0078329D" w:rsidRPr="00084584">
              <w:rPr>
                <w:b/>
              </w:rPr>
              <w:t xml:space="preserve">ther </w:t>
            </w:r>
            <w:r w:rsidR="000403CF">
              <w:rPr>
                <w:b/>
              </w:rPr>
              <w:t>I</w:t>
            </w:r>
            <w:r w:rsidR="001869A9" w:rsidRPr="00084584">
              <w:rPr>
                <w:b/>
              </w:rPr>
              <w:t>ssues</w:t>
            </w:r>
          </w:p>
        </w:tc>
      </w:tr>
      <w:tr w:rsidR="003B0605" w:rsidRPr="00084584" w:rsidTr="00044604">
        <w:tc>
          <w:tcPr>
            <w:tcW w:w="3402" w:type="dxa"/>
            <w:shd w:val="clear" w:color="auto" w:fill="auto"/>
          </w:tcPr>
          <w:p w:rsidR="003B0605" w:rsidRPr="00084584" w:rsidRDefault="003B0605" w:rsidP="00945364">
            <w:pPr>
              <w:spacing w:after="120"/>
              <w:ind w:right="386"/>
              <w:jc w:val="both"/>
            </w:pPr>
          </w:p>
        </w:tc>
        <w:tc>
          <w:tcPr>
            <w:tcW w:w="1418" w:type="dxa"/>
            <w:shd w:val="clear" w:color="auto" w:fill="EEECE1"/>
          </w:tcPr>
          <w:p w:rsidR="003B0605" w:rsidRPr="000F3187" w:rsidRDefault="003B0605" w:rsidP="00044604">
            <w:pPr>
              <w:spacing w:after="120"/>
              <w:ind w:right="386"/>
              <w:jc w:val="right"/>
              <w:rPr>
                <w:b/>
                <w:sz w:val="22"/>
                <w:szCs w:val="22"/>
              </w:rPr>
            </w:pPr>
            <w:r w:rsidRPr="000F3187">
              <w:rPr>
                <w:b/>
                <w:sz w:val="22"/>
                <w:szCs w:val="22"/>
              </w:rPr>
              <w:t>2017/1</w:t>
            </w:r>
            <w:r w:rsidR="00044604">
              <w:rPr>
                <w:b/>
                <w:sz w:val="22"/>
                <w:szCs w:val="22"/>
              </w:rPr>
              <w:t>8</w:t>
            </w:r>
            <w:r w:rsidRPr="000F3187">
              <w:rPr>
                <w:b/>
                <w:sz w:val="22"/>
                <w:szCs w:val="22"/>
              </w:rPr>
              <w:t xml:space="preserve"> </w:t>
            </w:r>
          </w:p>
          <w:p w:rsidR="003B0605" w:rsidRPr="000F3187" w:rsidRDefault="003B0605" w:rsidP="00044604">
            <w:pPr>
              <w:spacing w:after="120"/>
              <w:ind w:right="386"/>
              <w:jc w:val="right"/>
              <w:rPr>
                <w:b/>
                <w:sz w:val="22"/>
                <w:szCs w:val="22"/>
              </w:rPr>
            </w:pPr>
          </w:p>
        </w:tc>
        <w:tc>
          <w:tcPr>
            <w:tcW w:w="1417" w:type="dxa"/>
            <w:shd w:val="clear" w:color="auto" w:fill="EEECE1"/>
          </w:tcPr>
          <w:p w:rsidR="003B0605" w:rsidRPr="000F3187" w:rsidRDefault="003B0605" w:rsidP="00044604">
            <w:pPr>
              <w:spacing w:after="120"/>
              <w:ind w:right="386"/>
              <w:jc w:val="right"/>
              <w:rPr>
                <w:b/>
                <w:sz w:val="22"/>
                <w:szCs w:val="22"/>
              </w:rPr>
            </w:pPr>
            <w:r w:rsidRPr="000F3187">
              <w:rPr>
                <w:b/>
                <w:sz w:val="22"/>
                <w:szCs w:val="22"/>
              </w:rPr>
              <w:t>2018/19</w:t>
            </w:r>
          </w:p>
        </w:tc>
        <w:tc>
          <w:tcPr>
            <w:tcW w:w="1418" w:type="dxa"/>
            <w:shd w:val="clear" w:color="auto" w:fill="EEECE1"/>
          </w:tcPr>
          <w:p w:rsidR="003B0605" w:rsidRPr="000F3187" w:rsidRDefault="003B0605" w:rsidP="00044604">
            <w:pPr>
              <w:spacing w:after="120"/>
              <w:ind w:right="386"/>
              <w:jc w:val="right"/>
              <w:rPr>
                <w:b/>
                <w:sz w:val="22"/>
                <w:szCs w:val="22"/>
              </w:rPr>
            </w:pPr>
            <w:r w:rsidRPr="000F3187">
              <w:rPr>
                <w:b/>
                <w:sz w:val="22"/>
                <w:szCs w:val="22"/>
              </w:rPr>
              <w:t>2019/20</w:t>
            </w:r>
          </w:p>
        </w:tc>
        <w:tc>
          <w:tcPr>
            <w:tcW w:w="1417" w:type="dxa"/>
            <w:shd w:val="clear" w:color="auto" w:fill="EEECE1"/>
          </w:tcPr>
          <w:p w:rsidR="003B0605" w:rsidRPr="000F3187" w:rsidRDefault="003B0605" w:rsidP="00044604">
            <w:pPr>
              <w:spacing w:after="120"/>
              <w:ind w:right="386"/>
              <w:jc w:val="right"/>
              <w:rPr>
                <w:b/>
                <w:sz w:val="22"/>
                <w:szCs w:val="22"/>
              </w:rPr>
            </w:pPr>
            <w:r w:rsidRPr="000F3187">
              <w:rPr>
                <w:b/>
                <w:sz w:val="22"/>
                <w:szCs w:val="22"/>
              </w:rPr>
              <w:t>20</w:t>
            </w:r>
            <w:r>
              <w:rPr>
                <w:b/>
                <w:sz w:val="22"/>
                <w:szCs w:val="22"/>
              </w:rPr>
              <w:t>20</w:t>
            </w:r>
            <w:r w:rsidRPr="000F3187">
              <w:rPr>
                <w:b/>
                <w:sz w:val="22"/>
                <w:szCs w:val="22"/>
              </w:rPr>
              <w:t>/2</w:t>
            </w:r>
            <w:r>
              <w:rPr>
                <w:b/>
                <w:sz w:val="22"/>
                <w:szCs w:val="22"/>
              </w:rPr>
              <w:t>1</w:t>
            </w:r>
          </w:p>
        </w:tc>
      </w:tr>
      <w:tr w:rsidR="003B0605" w:rsidRPr="00084584" w:rsidTr="00044604">
        <w:tc>
          <w:tcPr>
            <w:tcW w:w="3402" w:type="dxa"/>
            <w:shd w:val="clear" w:color="auto" w:fill="auto"/>
          </w:tcPr>
          <w:p w:rsidR="003B0605" w:rsidRPr="00084584" w:rsidRDefault="003B0605" w:rsidP="00945364">
            <w:pPr>
              <w:spacing w:after="120"/>
              <w:ind w:right="386"/>
              <w:jc w:val="both"/>
            </w:pPr>
          </w:p>
        </w:tc>
        <w:tc>
          <w:tcPr>
            <w:tcW w:w="1418" w:type="dxa"/>
            <w:shd w:val="clear" w:color="auto" w:fill="EEECE1"/>
          </w:tcPr>
          <w:p w:rsidR="003B0605" w:rsidRPr="00084584" w:rsidRDefault="003B0605" w:rsidP="00945364">
            <w:pPr>
              <w:spacing w:after="120"/>
              <w:ind w:right="386"/>
              <w:jc w:val="center"/>
              <w:rPr>
                <w:b/>
              </w:rPr>
            </w:pPr>
            <w:r w:rsidRPr="00084584">
              <w:rPr>
                <w:b/>
              </w:rPr>
              <w:t>£000’s</w:t>
            </w:r>
          </w:p>
        </w:tc>
        <w:tc>
          <w:tcPr>
            <w:tcW w:w="1417" w:type="dxa"/>
            <w:shd w:val="clear" w:color="auto" w:fill="EEECE1"/>
          </w:tcPr>
          <w:p w:rsidR="003B0605" w:rsidRPr="00084584" w:rsidRDefault="003B0605" w:rsidP="00945364">
            <w:pPr>
              <w:jc w:val="center"/>
              <w:rPr>
                <w:b/>
              </w:rPr>
            </w:pPr>
            <w:r w:rsidRPr="00084584">
              <w:rPr>
                <w:b/>
              </w:rPr>
              <w:t>£000’s</w:t>
            </w:r>
          </w:p>
        </w:tc>
        <w:tc>
          <w:tcPr>
            <w:tcW w:w="1418" w:type="dxa"/>
            <w:shd w:val="clear" w:color="auto" w:fill="EEECE1"/>
          </w:tcPr>
          <w:p w:rsidR="003B0605" w:rsidRPr="00084584" w:rsidRDefault="003B0605" w:rsidP="00945364">
            <w:pPr>
              <w:jc w:val="center"/>
              <w:rPr>
                <w:b/>
              </w:rPr>
            </w:pPr>
            <w:r w:rsidRPr="00084584">
              <w:rPr>
                <w:b/>
              </w:rPr>
              <w:t>£000’s</w:t>
            </w:r>
          </w:p>
        </w:tc>
        <w:tc>
          <w:tcPr>
            <w:tcW w:w="1417" w:type="dxa"/>
            <w:shd w:val="clear" w:color="auto" w:fill="EEECE1"/>
          </w:tcPr>
          <w:p w:rsidR="003B0605" w:rsidRPr="00084584" w:rsidRDefault="003B0605" w:rsidP="00945364">
            <w:pPr>
              <w:jc w:val="center"/>
              <w:rPr>
                <w:b/>
              </w:rPr>
            </w:pPr>
            <w:r w:rsidRPr="00084584">
              <w:rPr>
                <w:b/>
              </w:rPr>
              <w:t>£000’s</w:t>
            </w:r>
          </w:p>
        </w:tc>
      </w:tr>
      <w:tr w:rsidR="003B0605" w:rsidRPr="00084584" w:rsidTr="00044604">
        <w:tc>
          <w:tcPr>
            <w:tcW w:w="3402" w:type="dxa"/>
            <w:shd w:val="clear" w:color="auto" w:fill="auto"/>
          </w:tcPr>
          <w:p w:rsidR="003B0605" w:rsidRPr="008E2356" w:rsidRDefault="00B83CDE" w:rsidP="005C628C">
            <w:pPr>
              <w:spacing w:after="120"/>
              <w:ind w:right="386"/>
            </w:pPr>
            <w:r>
              <w:lastRenderedPageBreak/>
              <w:t xml:space="preserve">HR and Organisational Development </w:t>
            </w:r>
            <w:r w:rsidR="008106CA">
              <w:t>FSR</w:t>
            </w:r>
            <w:r w:rsidR="00044604">
              <w:t>(</w:t>
            </w:r>
            <w:r w:rsidR="00DD1432">
              <w:t>1</w:t>
            </w:r>
            <w:r w:rsidR="00044604">
              <w:t>)</w:t>
            </w:r>
          </w:p>
        </w:tc>
        <w:tc>
          <w:tcPr>
            <w:tcW w:w="1418" w:type="dxa"/>
            <w:shd w:val="clear" w:color="auto" w:fill="auto"/>
          </w:tcPr>
          <w:p w:rsidR="003B0605" w:rsidRPr="00084584" w:rsidRDefault="00B83CDE" w:rsidP="001B42FC">
            <w:pPr>
              <w:spacing w:after="120"/>
              <w:ind w:right="34"/>
              <w:jc w:val="right"/>
            </w:pPr>
            <w:r>
              <w:t>(80)</w:t>
            </w:r>
          </w:p>
        </w:tc>
        <w:tc>
          <w:tcPr>
            <w:tcW w:w="1417" w:type="dxa"/>
            <w:shd w:val="clear" w:color="auto" w:fill="auto"/>
          </w:tcPr>
          <w:p w:rsidR="003B0605" w:rsidRPr="00084584" w:rsidRDefault="004442B2" w:rsidP="004442B2">
            <w:pPr>
              <w:spacing w:after="120"/>
              <w:ind w:right="123"/>
              <w:jc w:val="right"/>
            </w:pPr>
            <w:r>
              <w:t>(80)</w:t>
            </w:r>
          </w:p>
        </w:tc>
        <w:tc>
          <w:tcPr>
            <w:tcW w:w="1418" w:type="dxa"/>
            <w:shd w:val="clear" w:color="auto" w:fill="auto"/>
          </w:tcPr>
          <w:p w:rsidR="003B0605" w:rsidRDefault="004442B2" w:rsidP="001B42FC">
            <w:pPr>
              <w:spacing w:after="120"/>
              <w:ind w:right="34"/>
              <w:jc w:val="right"/>
            </w:pPr>
            <w:r>
              <w:t>(8</w:t>
            </w:r>
            <w:r w:rsidR="00B83CDE">
              <w:t>0</w:t>
            </w:r>
            <w:r>
              <w:t>)</w:t>
            </w:r>
          </w:p>
          <w:p w:rsidR="004442B2" w:rsidRPr="00084584" w:rsidRDefault="004442B2" w:rsidP="001B42FC">
            <w:pPr>
              <w:spacing w:after="120"/>
              <w:ind w:right="34"/>
              <w:jc w:val="right"/>
            </w:pPr>
          </w:p>
        </w:tc>
        <w:tc>
          <w:tcPr>
            <w:tcW w:w="1417" w:type="dxa"/>
            <w:shd w:val="clear" w:color="auto" w:fill="auto"/>
          </w:tcPr>
          <w:p w:rsidR="003B0605" w:rsidRPr="00084584" w:rsidRDefault="004442B2" w:rsidP="001B42FC">
            <w:pPr>
              <w:tabs>
                <w:tab w:val="left" w:pos="1167"/>
              </w:tabs>
              <w:spacing w:after="120"/>
              <w:ind w:right="107"/>
              <w:jc w:val="right"/>
            </w:pPr>
            <w:r>
              <w:t>(8</w:t>
            </w:r>
            <w:r w:rsidR="00B83CDE">
              <w:t>0</w:t>
            </w:r>
            <w:r>
              <w:t>)</w:t>
            </w:r>
          </w:p>
        </w:tc>
      </w:tr>
      <w:tr w:rsidR="003B0605" w:rsidRPr="00084584" w:rsidTr="00044604">
        <w:tc>
          <w:tcPr>
            <w:tcW w:w="3402" w:type="dxa"/>
            <w:shd w:val="clear" w:color="auto" w:fill="auto"/>
          </w:tcPr>
          <w:p w:rsidR="003B0605" w:rsidRPr="000F3187" w:rsidRDefault="00B83CDE" w:rsidP="005C628C">
            <w:pPr>
              <w:spacing w:after="120"/>
              <w:ind w:right="386"/>
            </w:pPr>
            <w:r>
              <w:t>Procurement</w:t>
            </w:r>
            <w:r w:rsidR="008106CA">
              <w:t xml:space="preserve"> FSR</w:t>
            </w:r>
            <w:r w:rsidR="00044604">
              <w:t xml:space="preserve"> (</w:t>
            </w:r>
            <w:r w:rsidR="00DD1432">
              <w:t>2</w:t>
            </w:r>
            <w:r w:rsidR="00044604">
              <w:t>)</w:t>
            </w:r>
          </w:p>
        </w:tc>
        <w:tc>
          <w:tcPr>
            <w:tcW w:w="1418" w:type="dxa"/>
            <w:shd w:val="clear" w:color="auto" w:fill="auto"/>
          </w:tcPr>
          <w:p w:rsidR="003B0605" w:rsidRPr="00084584" w:rsidRDefault="00343B3B" w:rsidP="00DA5C3D">
            <w:pPr>
              <w:spacing w:after="120"/>
              <w:ind w:right="34"/>
              <w:jc w:val="right"/>
            </w:pPr>
            <w:r>
              <w:t>(41)</w:t>
            </w:r>
          </w:p>
        </w:tc>
        <w:tc>
          <w:tcPr>
            <w:tcW w:w="1417" w:type="dxa"/>
            <w:shd w:val="clear" w:color="auto" w:fill="auto"/>
          </w:tcPr>
          <w:p w:rsidR="003B0605" w:rsidRPr="00084584" w:rsidRDefault="00343B3B" w:rsidP="00E8099B">
            <w:pPr>
              <w:spacing w:after="120"/>
              <w:ind w:right="123"/>
              <w:jc w:val="right"/>
            </w:pPr>
            <w:r>
              <w:t>(42)</w:t>
            </w:r>
          </w:p>
        </w:tc>
        <w:tc>
          <w:tcPr>
            <w:tcW w:w="1418" w:type="dxa"/>
            <w:shd w:val="clear" w:color="auto" w:fill="auto"/>
          </w:tcPr>
          <w:p w:rsidR="003B0605" w:rsidRPr="00084584" w:rsidRDefault="00343B3B" w:rsidP="00E8099B">
            <w:pPr>
              <w:spacing w:after="120"/>
              <w:ind w:right="34"/>
              <w:jc w:val="right"/>
            </w:pPr>
            <w:r>
              <w:t>(23)</w:t>
            </w:r>
          </w:p>
        </w:tc>
        <w:tc>
          <w:tcPr>
            <w:tcW w:w="1417" w:type="dxa"/>
            <w:shd w:val="clear" w:color="auto" w:fill="auto"/>
          </w:tcPr>
          <w:p w:rsidR="003B0605" w:rsidRPr="00084584" w:rsidRDefault="00343B3B" w:rsidP="00E8099B">
            <w:pPr>
              <w:tabs>
                <w:tab w:val="left" w:pos="1167"/>
              </w:tabs>
              <w:spacing w:after="120"/>
              <w:ind w:right="107"/>
              <w:jc w:val="right"/>
            </w:pPr>
            <w:r>
              <w:t>(23)</w:t>
            </w:r>
          </w:p>
        </w:tc>
      </w:tr>
      <w:tr w:rsidR="004634C6" w:rsidRPr="000F3187" w:rsidTr="00044604">
        <w:tc>
          <w:tcPr>
            <w:tcW w:w="3402" w:type="dxa"/>
            <w:shd w:val="clear" w:color="auto" w:fill="auto"/>
          </w:tcPr>
          <w:p w:rsidR="004634C6" w:rsidRPr="00044604" w:rsidRDefault="004634C6" w:rsidP="005C628C">
            <w:pPr>
              <w:spacing w:after="120"/>
              <w:ind w:right="386"/>
            </w:pPr>
            <w:r>
              <w:t>Minimum Revenue Provision (</w:t>
            </w:r>
            <w:r w:rsidR="00DD1432">
              <w:t>3</w:t>
            </w:r>
            <w:r>
              <w:t>)</w:t>
            </w:r>
          </w:p>
        </w:tc>
        <w:tc>
          <w:tcPr>
            <w:tcW w:w="1418" w:type="dxa"/>
            <w:shd w:val="clear" w:color="auto" w:fill="auto"/>
          </w:tcPr>
          <w:p w:rsidR="004634C6" w:rsidRPr="00E871FF" w:rsidRDefault="00E871FF" w:rsidP="00DA5C3D">
            <w:pPr>
              <w:spacing w:after="120"/>
              <w:ind w:right="34"/>
              <w:jc w:val="right"/>
            </w:pPr>
            <w:r w:rsidRPr="00E871FF">
              <w:t>0</w:t>
            </w:r>
          </w:p>
        </w:tc>
        <w:tc>
          <w:tcPr>
            <w:tcW w:w="1417" w:type="dxa"/>
            <w:shd w:val="clear" w:color="auto" w:fill="auto"/>
          </w:tcPr>
          <w:p w:rsidR="004634C6" w:rsidRPr="004634C6" w:rsidRDefault="004634C6" w:rsidP="00975D35">
            <w:pPr>
              <w:spacing w:after="120"/>
              <w:ind w:right="34"/>
              <w:jc w:val="right"/>
            </w:pPr>
            <w:r w:rsidRPr="004634C6">
              <w:t>5</w:t>
            </w:r>
            <w:r w:rsidR="00975D35">
              <w:t>3</w:t>
            </w:r>
          </w:p>
        </w:tc>
        <w:tc>
          <w:tcPr>
            <w:tcW w:w="1418" w:type="dxa"/>
            <w:shd w:val="clear" w:color="auto" w:fill="auto"/>
          </w:tcPr>
          <w:p w:rsidR="004634C6" w:rsidRPr="004634C6" w:rsidRDefault="004634C6" w:rsidP="004D4B44">
            <w:pPr>
              <w:spacing w:after="120"/>
              <w:ind w:right="123"/>
              <w:jc w:val="right"/>
            </w:pPr>
            <w:r w:rsidRPr="004634C6">
              <w:t>138</w:t>
            </w:r>
          </w:p>
        </w:tc>
        <w:tc>
          <w:tcPr>
            <w:tcW w:w="1417" w:type="dxa"/>
            <w:shd w:val="clear" w:color="auto" w:fill="auto"/>
          </w:tcPr>
          <w:p w:rsidR="004634C6" w:rsidRPr="004634C6" w:rsidRDefault="004634C6" w:rsidP="00975D35">
            <w:pPr>
              <w:spacing w:after="120"/>
              <w:ind w:right="34"/>
              <w:jc w:val="right"/>
            </w:pPr>
            <w:r w:rsidRPr="004634C6">
              <w:t>15</w:t>
            </w:r>
            <w:r w:rsidR="00975D35">
              <w:t>1</w:t>
            </w:r>
          </w:p>
        </w:tc>
      </w:tr>
      <w:tr w:rsidR="00565375" w:rsidRPr="000F3187" w:rsidTr="00044604">
        <w:tc>
          <w:tcPr>
            <w:tcW w:w="3402" w:type="dxa"/>
            <w:shd w:val="clear" w:color="auto" w:fill="auto"/>
          </w:tcPr>
          <w:p w:rsidR="00565375" w:rsidRPr="00044604" w:rsidRDefault="00565375" w:rsidP="005C628C">
            <w:pPr>
              <w:spacing w:after="120"/>
              <w:ind w:right="386"/>
            </w:pPr>
            <w:r>
              <w:t xml:space="preserve">Development of sports </w:t>
            </w:r>
            <w:r w:rsidR="00B801B9">
              <w:t>facilities</w:t>
            </w:r>
            <w:r>
              <w:t>(4)</w:t>
            </w:r>
          </w:p>
        </w:tc>
        <w:tc>
          <w:tcPr>
            <w:tcW w:w="1418" w:type="dxa"/>
            <w:shd w:val="clear" w:color="auto" w:fill="auto"/>
          </w:tcPr>
          <w:p w:rsidR="00565375" w:rsidRPr="00E871FF" w:rsidRDefault="00565375" w:rsidP="00565375">
            <w:pPr>
              <w:spacing w:after="120"/>
              <w:ind w:right="34"/>
              <w:jc w:val="right"/>
            </w:pPr>
            <w:r>
              <w:t>0</w:t>
            </w:r>
          </w:p>
        </w:tc>
        <w:tc>
          <w:tcPr>
            <w:tcW w:w="1417" w:type="dxa"/>
            <w:shd w:val="clear" w:color="auto" w:fill="auto"/>
          </w:tcPr>
          <w:p w:rsidR="00565375" w:rsidRPr="00B82D91" w:rsidRDefault="00565375" w:rsidP="00975D35">
            <w:pPr>
              <w:spacing w:after="120"/>
              <w:ind w:right="123"/>
              <w:jc w:val="right"/>
            </w:pPr>
            <w:r>
              <w:t>20</w:t>
            </w:r>
          </w:p>
        </w:tc>
        <w:tc>
          <w:tcPr>
            <w:tcW w:w="1418" w:type="dxa"/>
            <w:shd w:val="clear" w:color="auto" w:fill="auto"/>
          </w:tcPr>
          <w:p w:rsidR="00565375" w:rsidRPr="00B82D91" w:rsidRDefault="00565375" w:rsidP="00696752">
            <w:pPr>
              <w:spacing w:after="120"/>
              <w:ind w:right="34"/>
              <w:jc w:val="right"/>
            </w:pPr>
            <w:r>
              <w:t>20</w:t>
            </w:r>
          </w:p>
        </w:tc>
        <w:tc>
          <w:tcPr>
            <w:tcW w:w="1417" w:type="dxa"/>
            <w:shd w:val="clear" w:color="auto" w:fill="auto"/>
          </w:tcPr>
          <w:p w:rsidR="00565375" w:rsidRPr="00B82D91" w:rsidRDefault="00565375" w:rsidP="00975D35">
            <w:pPr>
              <w:tabs>
                <w:tab w:val="left" w:pos="1167"/>
              </w:tabs>
              <w:spacing w:after="120"/>
              <w:ind w:right="107"/>
              <w:jc w:val="right"/>
            </w:pPr>
            <w:r>
              <w:t>20</w:t>
            </w:r>
          </w:p>
        </w:tc>
      </w:tr>
      <w:tr w:rsidR="001771D2" w:rsidRPr="000F3187" w:rsidTr="00044604">
        <w:tc>
          <w:tcPr>
            <w:tcW w:w="3402" w:type="dxa"/>
            <w:shd w:val="clear" w:color="auto" w:fill="auto"/>
          </w:tcPr>
          <w:p w:rsidR="001771D2" w:rsidRPr="00044604" w:rsidRDefault="001771D2" w:rsidP="005C628C">
            <w:pPr>
              <w:spacing w:after="120"/>
              <w:ind w:right="386"/>
            </w:pPr>
            <w:r>
              <w:t>Go Ultra Low - taxis</w:t>
            </w:r>
          </w:p>
        </w:tc>
        <w:tc>
          <w:tcPr>
            <w:tcW w:w="1418" w:type="dxa"/>
            <w:shd w:val="clear" w:color="auto" w:fill="auto"/>
          </w:tcPr>
          <w:p w:rsidR="001771D2" w:rsidRPr="00E871FF" w:rsidRDefault="001771D2" w:rsidP="00DA5C3D">
            <w:pPr>
              <w:spacing w:after="120"/>
              <w:ind w:right="34"/>
              <w:jc w:val="right"/>
            </w:pPr>
            <w:r>
              <w:t>18</w:t>
            </w:r>
          </w:p>
        </w:tc>
        <w:tc>
          <w:tcPr>
            <w:tcW w:w="1417" w:type="dxa"/>
            <w:shd w:val="clear" w:color="auto" w:fill="auto"/>
          </w:tcPr>
          <w:p w:rsidR="001771D2" w:rsidRPr="00B82D91" w:rsidRDefault="001771D2" w:rsidP="00975D35">
            <w:pPr>
              <w:spacing w:after="120"/>
              <w:ind w:right="123"/>
              <w:jc w:val="right"/>
            </w:pPr>
            <w:r>
              <w:t>-</w:t>
            </w:r>
          </w:p>
        </w:tc>
        <w:tc>
          <w:tcPr>
            <w:tcW w:w="1418" w:type="dxa"/>
            <w:shd w:val="clear" w:color="auto" w:fill="auto"/>
          </w:tcPr>
          <w:p w:rsidR="001771D2" w:rsidRPr="00B82D91" w:rsidRDefault="001771D2" w:rsidP="00696752">
            <w:pPr>
              <w:spacing w:after="120"/>
              <w:ind w:right="34"/>
              <w:jc w:val="right"/>
            </w:pPr>
            <w:r>
              <w:t>-</w:t>
            </w:r>
          </w:p>
        </w:tc>
        <w:tc>
          <w:tcPr>
            <w:tcW w:w="1417" w:type="dxa"/>
            <w:shd w:val="clear" w:color="auto" w:fill="auto"/>
          </w:tcPr>
          <w:p w:rsidR="001771D2" w:rsidRPr="00B82D91" w:rsidRDefault="001771D2" w:rsidP="00975D35">
            <w:pPr>
              <w:tabs>
                <w:tab w:val="left" w:pos="1167"/>
              </w:tabs>
              <w:spacing w:after="120"/>
              <w:ind w:right="107"/>
              <w:jc w:val="right"/>
            </w:pPr>
            <w:r>
              <w:t>-</w:t>
            </w:r>
          </w:p>
        </w:tc>
      </w:tr>
      <w:tr w:rsidR="001771D2" w:rsidRPr="000F3187" w:rsidTr="00044604">
        <w:tc>
          <w:tcPr>
            <w:tcW w:w="3402" w:type="dxa"/>
            <w:shd w:val="clear" w:color="auto" w:fill="auto"/>
          </w:tcPr>
          <w:p w:rsidR="001771D2" w:rsidRPr="00044604" w:rsidRDefault="001771D2" w:rsidP="00687CAB">
            <w:pPr>
              <w:spacing w:after="120"/>
              <w:ind w:right="386"/>
            </w:pPr>
            <w:r>
              <w:t>Small cycle schemes</w:t>
            </w:r>
          </w:p>
        </w:tc>
        <w:tc>
          <w:tcPr>
            <w:tcW w:w="1418" w:type="dxa"/>
            <w:shd w:val="clear" w:color="auto" w:fill="auto"/>
          </w:tcPr>
          <w:p w:rsidR="001771D2" w:rsidRPr="00E871FF" w:rsidRDefault="001771D2" w:rsidP="00DA5C3D">
            <w:pPr>
              <w:spacing w:after="120"/>
              <w:ind w:right="34"/>
              <w:jc w:val="right"/>
            </w:pPr>
            <w:r>
              <w:t>25</w:t>
            </w:r>
          </w:p>
        </w:tc>
        <w:tc>
          <w:tcPr>
            <w:tcW w:w="1417" w:type="dxa"/>
            <w:shd w:val="clear" w:color="auto" w:fill="auto"/>
          </w:tcPr>
          <w:p w:rsidR="001771D2" w:rsidRPr="00B82D91" w:rsidRDefault="001771D2" w:rsidP="00975D35">
            <w:pPr>
              <w:spacing w:after="120"/>
              <w:ind w:right="123"/>
              <w:jc w:val="right"/>
            </w:pPr>
            <w:r>
              <w:t>25</w:t>
            </w:r>
          </w:p>
        </w:tc>
        <w:tc>
          <w:tcPr>
            <w:tcW w:w="1418" w:type="dxa"/>
            <w:shd w:val="clear" w:color="auto" w:fill="auto"/>
          </w:tcPr>
          <w:p w:rsidR="001771D2" w:rsidRPr="00B82D91" w:rsidRDefault="001771D2" w:rsidP="00696752">
            <w:pPr>
              <w:spacing w:after="120"/>
              <w:ind w:right="34"/>
              <w:jc w:val="right"/>
            </w:pPr>
            <w:r>
              <w:t>-</w:t>
            </w:r>
          </w:p>
        </w:tc>
        <w:tc>
          <w:tcPr>
            <w:tcW w:w="1417" w:type="dxa"/>
            <w:shd w:val="clear" w:color="auto" w:fill="auto"/>
          </w:tcPr>
          <w:p w:rsidR="001771D2" w:rsidRPr="00B82D91" w:rsidRDefault="001771D2" w:rsidP="00975D35">
            <w:pPr>
              <w:tabs>
                <w:tab w:val="left" w:pos="1167"/>
              </w:tabs>
              <w:spacing w:after="120"/>
              <w:ind w:right="107"/>
              <w:jc w:val="right"/>
            </w:pPr>
            <w:r>
              <w:t>-</w:t>
            </w:r>
          </w:p>
        </w:tc>
      </w:tr>
      <w:tr w:rsidR="001771D2" w:rsidRPr="000F3187" w:rsidTr="00044604">
        <w:tc>
          <w:tcPr>
            <w:tcW w:w="3402" w:type="dxa"/>
            <w:shd w:val="clear" w:color="auto" w:fill="auto"/>
          </w:tcPr>
          <w:p w:rsidR="001771D2" w:rsidRPr="00044604" w:rsidRDefault="001771D2" w:rsidP="00687CAB">
            <w:pPr>
              <w:spacing w:after="120"/>
              <w:ind w:right="386"/>
            </w:pPr>
            <w:r>
              <w:t>Design costs Cowley Marsh pavilion</w:t>
            </w:r>
          </w:p>
        </w:tc>
        <w:tc>
          <w:tcPr>
            <w:tcW w:w="1418" w:type="dxa"/>
            <w:shd w:val="clear" w:color="auto" w:fill="auto"/>
          </w:tcPr>
          <w:p w:rsidR="001771D2" w:rsidRPr="00E871FF" w:rsidRDefault="001771D2" w:rsidP="00DA5C3D">
            <w:pPr>
              <w:spacing w:after="120"/>
              <w:ind w:right="34"/>
              <w:jc w:val="right"/>
            </w:pPr>
            <w:r>
              <w:t>25</w:t>
            </w:r>
          </w:p>
        </w:tc>
        <w:tc>
          <w:tcPr>
            <w:tcW w:w="1417" w:type="dxa"/>
            <w:shd w:val="clear" w:color="auto" w:fill="auto"/>
          </w:tcPr>
          <w:p w:rsidR="001771D2" w:rsidRPr="00B82D91" w:rsidRDefault="001771D2" w:rsidP="00975D35">
            <w:pPr>
              <w:spacing w:after="120"/>
              <w:ind w:right="123"/>
              <w:jc w:val="right"/>
            </w:pPr>
            <w:r>
              <w:t>-</w:t>
            </w:r>
          </w:p>
        </w:tc>
        <w:tc>
          <w:tcPr>
            <w:tcW w:w="1418" w:type="dxa"/>
            <w:shd w:val="clear" w:color="auto" w:fill="auto"/>
          </w:tcPr>
          <w:p w:rsidR="001771D2" w:rsidRPr="00B82D91" w:rsidRDefault="001771D2" w:rsidP="00696752">
            <w:pPr>
              <w:spacing w:after="120"/>
              <w:ind w:right="34"/>
              <w:jc w:val="right"/>
            </w:pPr>
            <w:r>
              <w:t>-</w:t>
            </w:r>
          </w:p>
        </w:tc>
        <w:tc>
          <w:tcPr>
            <w:tcW w:w="1417" w:type="dxa"/>
            <w:shd w:val="clear" w:color="auto" w:fill="auto"/>
          </w:tcPr>
          <w:p w:rsidR="001771D2" w:rsidRPr="00B82D91" w:rsidRDefault="001771D2" w:rsidP="00975D35">
            <w:pPr>
              <w:tabs>
                <w:tab w:val="left" w:pos="1167"/>
              </w:tabs>
              <w:spacing w:after="120"/>
              <w:ind w:right="107"/>
              <w:jc w:val="right"/>
            </w:pPr>
            <w:r>
              <w:t>-</w:t>
            </w:r>
          </w:p>
        </w:tc>
      </w:tr>
      <w:tr w:rsidR="001771D2" w:rsidRPr="000F3187" w:rsidTr="00044604">
        <w:tc>
          <w:tcPr>
            <w:tcW w:w="3402" w:type="dxa"/>
            <w:shd w:val="clear" w:color="auto" w:fill="auto"/>
          </w:tcPr>
          <w:p w:rsidR="001771D2" w:rsidRPr="00044604" w:rsidRDefault="001771D2" w:rsidP="00687CAB">
            <w:pPr>
              <w:spacing w:after="120"/>
              <w:ind w:right="386"/>
            </w:pPr>
            <w:r>
              <w:t>Voluntary sector grants</w:t>
            </w:r>
          </w:p>
        </w:tc>
        <w:tc>
          <w:tcPr>
            <w:tcW w:w="1418" w:type="dxa"/>
            <w:shd w:val="clear" w:color="auto" w:fill="auto"/>
          </w:tcPr>
          <w:p w:rsidR="001771D2" w:rsidRPr="00E871FF" w:rsidRDefault="001771D2" w:rsidP="00DA5C3D">
            <w:pPr>
              <w:spacing w:after="120"/>
              <w:ind w:right="34"/>
              <w:jc w:val="right"/>
            </w:pPr>
            <w:r>
              <w:t>43</w:t>
            </w:r>
          </w:p>
        </w:tc>
        <w:tc>
          <w:tcPr>
            <w:tcW w:w="1417" w:type="dxa"/>
            <w:shd w:val="clear" w:color="auto" w:fill="auto"/>
          </w:tcPr>
          <w:p w:rsidR="001771D2" w:rsidRPr="00B82D91" w:rsidRDefault="001771D2" w:rsidP="00975D35">
            <w:pPr>
              <w:spacing w:after="120"/>
              <w:ind w:right="123"/>
              <w:jc w:val="right"/>
            </w:pPr>
            <w:r>
              <w:t>-</w:t>
            </w:r>
          </w:p>
        </w:tc>
        <w:tc>
          <w:tcPr>
            <w:tcW w:w="1418" w:type="dxa"/>
            <w:shd w:val="clear" w:color="auto" w:fill="auto"/>
          </w:tcPr>
          <w:p w:rsidR="001771D2" w:rsidRPr="00B82D91" w:rsidRDefault="001771D2" w:rsidP="00696752">
            <w:pPr>
              <w:spacing w:after="120"/>
              <w:ind w:right="34"/>
              <w:jc w:val="right"/>
            </w:pPr>
            <w:r>
              <w:t>-</w:t>
            </w:r>
          </w:p>
        </w:tc>
        <w:tc>
          <w:tcPr>
            <w:tcW w:w="1417" w:type="dxa"/>
            <w:shd w:val="clear" w:color="auto" w:fill="auto"/>
          </w:tcPr>
          <w:p w:rsidR="001771D2" w:rsidRPr="00B82D91" w:rsidRDefault="001771D2" w:rsidP="00975D35">
            <w:pPr>
              <w:tabs>
                <w:tab w:val="left" w:pos="1167"/>
              </w:tabs>
              <w:spacing w:after="120"/>
              <w:ind w:right="107"/>
              <w:jc w:val="right"/>
            </w:pPr>
            <w:r>
              <w:t>-</w:t>
            </w:r>
          </w:p>
        </w:tc>
      </w:tr>
      <w:tr w:rsidR="004634C6" w:rsidRPr="000F3187" w:rsidTr="00044604">
        <w:tc>
          <w:tcPr>
            <w:tcW w:w="3402" w:type="dxa"/>
            <w:shd w:val="clear" w:color="auto" w:fill="auto"/>
          </w:tcPr>
          <w:p w:rsidR="004634C6" w:rsidRPr="00044604" w:rsidRDefault="004634C6" w:rsidP="00687CAB">
            <w:pPr>
              <w:spacing w:after="120"/>
              <w:ind w:right="386"/>
            </w:pPr>
            <w:r w:rsidRPr="00044604">
              <w:t>Direct Revenue Funding</w:t>
            </w:r>
            <w:r>
              <w:t xml:space="preserve"> (</w:t>
            </w:r>
            <w:r w:rsidR="00565375">
              <w:t>5</w:t>
            </w:r>
            <w:r>
              <w:t>)</w:t>
            </w:r>
          </w:p>
        </w:tc>
        <w:tc>
          <w:tcPr>
            <w:tcW w:w="1418" w:type="dxa"/>
            <w:shd w:val="clear" w:color="auto" w:fill="auto"/>
          </w:tcPr>
          <w:p w:rsidR="004634C6" w:rsidRPr="00E871FF" w:rsidRDefault="001771D2" w:rsidP="00DA5C3D">
            <w:pPr>
              <w:spacing w:after="120"/>
              <w:ind w:right="34"/>
              <w:jc w:val="right"/>
            </w:pPr>
            <w:r>
              <w:t>35</w:t>
            </w:r>
          </w:p>
        </w:tc>
        <w:tc>
          <w:tcPr>
            <w:tcW w:w="1417" w:type="dxa"/>
            <w:shd w:val="clear" w:color="auto" w:fill="auto"/>
          </w:tcPr>
          <w:p w:rsidR="004634C6" w:rsidRPr="00B82D91" w:rsidRDefault="001771D2" w:rsidP="00975D35">
            <w:pPr>
              <w:spacing w:after="120"/>
              <w:ind w:right="123"/>
              <w:jc w:val="right"/>
            </w:pPr>
            <w:r>
              <w:t>163</w:t>
            </w:r>
          </w:p>
        </w:tc>
        <w:tc>
          <w:tcPr>
            <w:tcW w:w="1418" w:type="dxa"/>
            <w:shd w:val="clear" w:color="auto" w:fill="auto"/>
          </w:tcPr>
          <w:p w:rsidR="004634C6" w:rsidRPr="00B82D91" w:rsidRDefault="004442B2" w:rsidP="001771D2">
            <w:pPr>
              <w:spacing w:after="120"/>
              <w:ind w:right="34"/>
              <w:jc w:val="right"/>
            </w:pPr>
            <w:r w:rsidRPr="00B82D91">
              <w:t>(1</w:t>
            </w:r>
            <w:r w:rsidR="001771D2">
              <w:t>8</w:t>
            </w:r>
            <w:r w:rsidRPr="00B82D91">
              <w:t>0)</w:t>
            </w:r>
          </w:p>
        </w:tc>
        <w:tc>
          <w:tcPr>
            <w:tcW w:w="1417" w:type="dxa"/>
            <w:shd w:val="clear" w:color="auto" w:fill="auto"/>
          </w:tcPr>
          <w:p w:rsidR="004634C6" w:rsidRPr="00B82D91" w:rsidRDefault="004442B2" w:rsidP="001771D2">
            <w:pPr>
              <w:tabs>
                <w:tab w:val="left" w:pos="1167"/>
              </w:tabs>
              <w:spacing w:after="120"/>
              <w:ind w:right="107"/>
              <w:jc w:val="right"/>
            </w:pPr>
            <w:r w:rsidRPr="00B82D91">
              <w:t>(4</w:t>
            </w:r>
            <w:r w:rsidR="001771D2">
              <w:t>45</w:t>
            </w:r>
            <w:r w:rsidRPr="00B82D91">
              <w:t>)</w:t>
            </w:r>
          </w:p>
        </w:tc>
      </w:tr>
      <w:tr w:rsidR="004634C6" w:rsidRPr="000F3187" w:rsidTr="00044604">
        <w:tc>
          <w:tcPr>
            <w:tcW w:w="3402" w:type="dxa"/>
            <w:shd w:val="clear" w:color="auto" w:fill="auto"/>
          </w:tcPr>
          <w:p w:rsidR="004634C6" w:rsidRPr="008E2356" w:rsidRDefault="004634C6" w:rsidP="00945364">
            <w:pPr>
              <w:spacing w:after="120"/>
              <w:ind w:right="386"/>
              <w:jc w:val="both"/>
              <w:rPr>
                <w:b/>
              </w:rPr>
            </w:pPr>
            <w:r w:rsidRPr="008E2356">
              <w:rPr>
                <w:b/>
              </w:rPr>
              <w:t>Total</w:t>
            </w:r>
          </w:p>
        </w:tc>
        <w:tc>
          <w:tcPr>
            <w:tcW w:w="1418" w:type="dxa"/>
            <w:shd w:val="clear" w:color="auto" w:fill="auto"/>
          </w:tcPr>
          <w:p w:rsidR="004634C6" w:rsidRPr="000F3187" w:rsidRDefault="001771D2" w:rsidP="00DD1432">
            <w:pPr>
              <w:spacing w:after="120"/>
              <w:ind w:right="34"/>
              <w:jc w:val="right"/>
              <w:rPr>
                <w:b/>
              </w:rPr>
            </w:pPr>
            <w:r>
              <w:rPr>
                <w:b/>
              </w:rPr>
              <w:t>25</w:t>
            </w:r>
          </w:p>
        </w:tc>
        <w:tc>
          <w:tcPr>
            <w:tcW w:w="1417" w:type="dxa"/>
            <w:shd w:val="clear" w:color="auto" w:fill="auto"/>
          </w:tcPr>
          <w:p w:rsidR="004634C6" w:rsidRPr="000F3187" w:rsidRDefault="001771D2" w:rsidP="001771D2">
            <w:pPr>
              <w:spacing w:after="120"/>
              <w:ind w:right="123"/>
              <w:jc w:val="right"/>
              <w:rPr>
                <w:b/>
              </w:rPr>
            </w:pPr>
            <w:r>
              <w:rPr>
                <w:b/>
              </w:rPr>
              <w:t>139</w:t>
            </w:r>
          </w:p>
        </w:tc>
        <w:tc>
          <w:tcPr>
            <w:tcW w:w="1418" w:type="dxa"/>
            <w:shd w:val="clear" w:color="auto" w:fill="auto"/>
          </w:tcPr>
          <w:p w:rsidR="004634C6" w:rsidRPr="000F3187" w:rsidRDefault="004442B2" w:rsidP="001771D2">
            <w:pPr>
              <w:spacing w:after="120"/>
              <w:ind w:right="34"/>
              <w:jc w:val="right"/>
              <w:rPr>
                <w:b/>
              </w:rPr>
            </w:pPr>
            <w:r>
              <w:rPr>
                <w:b/>
              </w:rPr>
              <w:t>(</w:t>
            </w:r>
            <w:r w:rsidR="00DD1432">
              <w:rPr>
                <w:b/>
              </w:rPr>
              <w:t>1</w:t>
            </w:r>
            <w:r w:rsidR="001771D2">
              <w:rPr>
                <w:b/>
              </w:rPr>
              <w:t>2</w:t>
            </w:r>
            <w:r>
              <w:rPr>
                <w:b/>
              </w:rPr>
              <w:t>5)</w:t>
            </w:r>
          </w:p>
        </w:tc>
        <w:tc>
          <w:tcPr>
            <w:tcW w:w="1417" w:type="dxa"/>
            <w:shd w:val="clear" w:color="auto" w:fill="auto"/>
          </w:tcPr>
          <w:p w:rsidR="004634C6" w:rsidRPr="000F3187" w:rsidRDefault="004442B2" w:rsidP="001771D2">
            <w:pPr>
              <w:tabs>
                <w:tab w:val="left" w:pos="1167"/>
              </w:tabs>
              <w:spacing w:after="120"/>
              <w:ind w:right="107"/>
              <w:jc w:val="right"/>
              <w:rPr>
                <w:b/>
              </w:rPr>
            </w:pPr>
            <w:r>
              <w:rPr>
                <w:b/>
              </w:rPr>
              <w:t>(3</w:t>
            </w:r>
            <w:r w:rsidR="001771D2">
              <w:rPr>
                <w:b/>
              </w:rPr>
              <w:t>77</w:t>
            </w:r>
            <w:r>
              <w:rPr>
                <w:b/>
              </w:rPr>
              <w:t>)</w:t>
            </w:r>
          </w:p>
        </w:tc>
      </w:tr>
    </w:tbl>
    <w:p w:rsidR="00DA5C3D" w:rsidRPr="003D0C7D" w:rsidRDefault="00044604" w:rsidP="00F724B1">
      <w:pPr>
        <w:ind w:left="720"/>
        <w:rPr>
          <w:b/>
        </w:rPr>
      </w:pPr>
      <w:r w:rsidRPr="003D0C7D">
        <w:rPr>
          <w:b/>
        </w:rPr>
        <w:t>Notes</w:t>
      </w:r>
    </w:p>
    <w:p w:rsidR="00044604" w:rsidRDefault="00044604" w:rsidP="004D4B44">
      <w:pPr>
        <w:numPr>
          <w:ilvl w:val="0"/>
          <w:numId w:val="14"/>
        </w:numPr>
      </w:pPr>
      <w:r w:rsidRPr="00044604">
        <w:rPr>
          <w:b/>
        </w:rPr>
        <w:t xml:space="preserve">HR and OD </w:t>
      </w:r>
      <w:r>
        <w:t xml:space="preserve">– </w:t>
      </w:r>
      <w:r w:rsidR="003A5058">
        <w:t xml:space="preserve">Following </w:t>
      </w:r>
      <w:r>
        <w:t xml:space="preserve">the Fundamental Service Review a restructure of the HR and OD team will result in </w:t>
      </w:r>
      <w:r w:rsidR="00975D35">
        <w:t>further efficiency savings</w:t>
      </w:r>
    </w:p>
    <w:p w:rsidR="00044604" w:rsidRDefault="00044604" w:rsidP="004D4B44">
      <w:pPr>
        <w:numPr>
          <w:ilvl w:val="0"/>
          <w:numId w:val="14"/>
        </w:numPr>
      </w:pPr>
      <w:r w:rsidRPr="00044604">
        <w:rPr>
          <w:b/>
        </w:rPr>
        <w:t>Procur</w:t>
      </w:r>
      <w:r>
        <w:rPr>
          <w:b/>
        </w:rPr>
        <w:t>e</w:t>
      </w:r>
      <w:r w:rsidRPr="00044604">
        <w:rPr>
          <w:b/>
        </w:rPr>
        <w:t xml:space="preserve">ment </w:t>
      </w:r>
      <w:r>
        <w:t>–</w:t>
      </w:r>
      <w:r w:rsidR="00343B3B">
        <w:t xml:space="preserve"> Following </w:t>
      </w:r>
      <w:r w:rsidR="003A5058">
        <w:t xml:space="preserve">the Fundamental Service Review </w:t>
      </w:r>
      <w:r w:rsidR="006C7781">
        <w:t xml:space="preserve">and </w:t>
      </w:r>
      <w:r w:rsidR="00343B3B">
        <w:t>scrutiny of service expenditure further procurement savings ha</w:t>
      </w:r>
      <w:r w:rsidR="006C7781">
        <w:t xml:space="preserve">ve </w:t>
      </w:r>
      <w:r w:rsidR="00343B3B">
        <w:t>been identified</w:t>
      </w:r>
    </w:p>
    <w:p w:rsidR="004634C6" w:rsidRDefault="004634C6" w:rsidP="004D4B44">
      <w:pPr>
        <w:numPr>
          <w:ilvl w:val="0"/>
          <w:numId w:val="14"/>
        </w:numPr>
      </w:pPr>
      <w:r>
        <w:rPr>
          <w:b/>
        </w:rPr>
        <w:t xml:space="preserve">MRP </w:t>
      </w:r>
      <w:r>
        <w:t xml:space="preserve">– Revenue charge arising from additional prudential borrowing for purchase of properties for the homeless </w:t>
      </w:r>
    </w:p>
    <w:p w:rsidR="00565375" w:rsidRDefault="00565375" w:rsidP="004D4B44">
      <w:pPr>
        <w:numPr>
          <w:ilvl w:val="0"/>
          <w:numId w:val="14"/>
        </w:numPr>
      </w:pPr>
      <w:r>
        <w:rPr>
          <w:b/>
        </w:rPr>
        <w:t xml:space="preserve">New revenue streams </w:t>
      </w:r>
      <w:r>
        <w:t xml:space="preserve">– Ongoing discussions around sports development indicate that </w:t>
      </w:r>
      <w:r w:rsidR="004329D7">
        <w:t>income targets are overly ambitious</w:t>
      </w:r>
      <w:r>
        <w:t xml:space="preserve"> </w:t>
      </w:r>
    </w:p>
    <w:p w:rsidR="00911205" w:rsidRPr="00A21E92" w:rsidRDefault="00911205" w:rsidP="004D4B44">
      <w:pPr>
        <w:numPr>
          <w:ilvl w:val="0"/>
          <w:numId w:val="14"/>
        </w:numPr>
      </w:pPr>
      <w:r w:rsidRPr="00911205">
        <w:rPr>
          <w:b/>
        </w:rPr>
        <w:t>Voluntary sector grants</w:t>
      </w:r>
      <w:r>
        <w:rPr>
          <w:b/>
        </w:rPr>
        <w:t xml:space="preserve"> </w:t>
      </w:r>
      <w:r w:rsidR="00A21E92">
        <w:rPr>
          <w:b/>
        </w:rPr>
        <w:t>–</w:t>
      </w:r>
      <w:r>
        <w:rPr>
          <w:b/>
        </w:rPr>
        <w:t xml:space="preserve"> </w:t>
      </w:r>
      <w:r w:rsidR="00A21E92" w:rsidRPr="00A21E92">
        <w:t>£50k</w:t>
      </w:r>
      <w:r w:rsidR="00A21E92">
        <w:rPr>
          <w:b/>
        </w:rPr>
        <w:t xml:space="preserve"> </w:t>
      </w:r>
      <w:r w:rsidR="004329D7" w:rsidRPr="00DB4B8B">
        <w:t>o</w:t>
      </w:r>
      <w:r w:rsidR="00A21E92" w:rsidRPr="00DB4B8B">
        <w:t>ne</w:t>
      </w:r>
      <w:r w:rsidR="00A21E92" w:rsidRPr="00A21E92">
        <w:t xml:space="preserve"> off contribution to </w:t>
      </w:r>
      <w:r w:rsidR="00DB4B8B">
        <w:t>‘</w:t>
      </w:r>
      <w:r w:rsidR="00A21E92" w:rsidRPr="00A21E92">
        <w:t>stay and play</w:t>
      </w:r>
      <w:r w:rsidR="00DB4B8B">
        <w:t>’</w:t>
      </w:r>
      <w:r w:rsidR="00A21E92" w:rsidRPr="00A21E92">
        <w:t xml:space="preserve"> </w:t>
      </w:r>
      <w:r w:rsidR="00DB4B8B">
        <w:t xml:space="preserve">sessions </w:t>
      </w:r>
      <w:r w:rsidR="00A21E92" w:rsidRPr="00A21E92">
        <w:t>at children</w:t>
      </w:r>
      <w:r w:rsidR="00597768">
        <w:t>’</w:t>
      </w:r>
      <w:r w:rsidR="00A21E92" w:rsidRPr="00A21E92">
        <w:t>s centre</w:t>
      </w:r>
      <w:r w:rsidR="00A21E92">
        <w:t xml:space="preserve"> net of other minor adjustments</w:t>
      </w:r>
    </w:p>
    <w:p w:rsidR="00514F56" w:rsidRPr="00975D35" w:rsidRDefault="00514F56" w:rsidP="004D4B44">
      <w:pPr>
        <w:numPr>
          <w:ilvl w:val="0"/>
          <w:numId w:val="14"/>
        </w:numPr>
      </w:pPr>
      <w:r w:rsidRPr="00975D35">
        <w:rPr>
          <w:b/>
        </w:rPr>
        <w:t>Direct Revenue Funding</w:t>
      </w:r>
      <w:r w:rsidR="00975D35" w:rsidRPr="00975D35">
        <w:t xml:space="preserve"> – DRF provides funding to finance capital expenditure. The amount used equates to the amount of New Homes Bonus received</w:t>
      </w:r>
      <w:r w:rsidR="003D0C7D">
        <w:t xml:space="preserve"> and the changes shown </w:t>
      </w:r>
      <w:r w:rsidR="00975D35" w:rsidRPr="00975D35">
        <w:t>in Table 6 reflect the changes in New Homes Bonus</w:t>
      </w:r>
      <w:r w:rsidR="00975D35">
        <w:t xml:space="preserve">. </w:t>
      </w:r>
    </w:p>
    <w:p w:rsidR="00163249" w:rsidRPr="00084584" w:rsidRDefault="00163249" w:rsidP="00163249">
      <w:pPr>
        <w:ind w:left="720" w:hanging="720"/>
      </w:pPr>
    </w:p>
    <w:p w:rsidR="00163249" w:rsidRPr="00084584" w:rsidRDefault="00163249" w:rsidP="00F724B1">
      <w:pPr>
        <w:ind w:left="720"/>
      </w:pPr>
    </w:p>
    <w:p w:rsidR="00030F4B" w:rsidRDefault="00F724B1" w:rsidP="00030F4B">
      <w:pPr>
        <w:pStyle w:val="Heading1"/>
      </w:pPr>
      <w:r w:rsidRPr="00084584">
        <w:t>Summary of Chang</w:t>
      </w:r>
      <w:r w:rsidR="00A00E36" w:rsidRPr="00084584">
        <w:t xml:space="preserve">es to </w:t>
      </w:r>
      <w:r w:rsidR="005A6404">
        <w:t>Medium Term Financial Strategy</w:t>
      </w:r>
    </w:p>
    <w:p w:rsidR="00F724B1" w:rsidRDefault="008945C5" w:rsidP="00030F4B">
      <w:pPr>
        <w:pStyle w:val="ListParagraph"/>
      </w:pPr>
      <w:r w:rsidRPr="00084584">
        <w:t>The Council</w:t>
      </w:r>
      <w:r w:rsidR="009134BF" w:rsidRPr="00084584">
        <w:t>’</w:t>
      </w:r>
      <w:r w:rsidRPr="00084584">
        <w:t>s General Fu</w:t>
      </w:r>
      <w:r w:rsidR="00A00E36" w:rsidRPr="00084584">
        <w:t xml:space="preserve">nd </w:t>
      </w:r>
      <w:r w:rsidR="005A6404">
        <w:t>Medium Term Financial Strategy</w:t>
      </w:r>
      <w:r w:rsidR="00685FFE" w:rsidRPr="00084584">
        <w:t xml:space="preserve"> is shown in Appendices 1-3</w:t>
      </w:r>
      <w:r w:rsidR="0018195F">
        <w:t xml:space="preserve"> together with assumptions around fees and charges in Appendix 7</w:t>
      </w:r>
      <w:r w:rsidR="002E29C2" w:rsidRPr="00084584">
        <w:t>.</w:t>
      </w:r>
      <w:r w:rsidR="00685FFE" w:rsidRPr="00084584">
        <w:t xml:space="preserve"> </w:t>
      </w:r>
      <w:r w:rsidR="002E29C2" w:rsidRPr="00084584">
        <w:t>A</w:t>
      </w:r>
      <w:r w:rsidR="00685FFE" w:rsidRPr="00084584">
        <w:t xml:space="preserve"> </w:t>
      </w:r>
      <w:r w:rsidR="00F724B1" w:rsidRPr="00084584">
        <w:t xml:space="preserve">summary of the </w:t>
      </w:r>
      <w:r w:rsidR="002E29C2" w:rsidRPr="00084584">
        <w:t>movement in</w:t>
      </w:r>
      <w:r w:rsidR="00A00E36" w:rsidRPr="00084584">
        <w:t xml:space="preserve"> the </w:t>
      </w:r>
      <w:r w:rsidR="005A6404">
        <w:t>Medium Term Financial Strategy</w:t>
      </w:r>
      <w:r w:rsidR="00F724B1" w:rsidRPr="00084584">
        <w:t xml:space="preserve"> from the Consultation Budget agreed in December 201</w:t>
      </w:r>
      <w:r w:rsidR="00B83CDE">
        <w:t>6</w:t>
      </w:r>
      <w:r w:rsidR="00F724B1" w:rsidRPr="00084584">
        <w:t>,</w:t>
      </w:r>
      <w:r w:rsidRPr="00084584">
        <w:t xml:space="preserve"> </w:t>
      </w:r>
      <w:r w:rsidR="00F724B1" w:rsidRPr="00084584">
        <w:t xml:space="preserve">taking account of the changes highlighted above </w:t>
      </w:r>
      <w:r w:rsidR="002E29C2" w:rsidRPr="00084584">
        <w:t xml:space="preserve">is </w:t>
      </w:r>
      <w:r w:rsidR="00F724B1" w:rsidRPr="00084584">
        <w:t xml:space="preserve">shown </w:t>
      </w:r>
      <w:r w:rsidR="00DA5C3D" w:rsidRPr="00084584">
        <w:t>below:</w:t>
      </w:r>
    </w:p>
    <w:p w:rsidR="00C56217" w:rsidRDefault="00F724B1" w:rsidP="00BA202E">
      <w:pPr>
        <w:spacing w:after="120"/>
        <w:ind w:right="386"/>
        <w:jc w:val="both"/>
        <w:rPr>
          <w:b/>
        </w:rPr>
      </w:pPr>
      <w:r w:rsidRPr="00084584">
        <w:rPr>
          <w:b/>
        </w:rPr>
        <w:tab/>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1491"/>
        <w:gridCol w:w="1858"/>
        <w:gridCol w:w="1484"/>
        <w:gridCol w:w="1547"/>
      </w:tblGrid>
      <w:tr w:rsidR="004212A9" w:rsidRPr="00084584" w:rsidTr="00A30245">
        <w:trPr>
          <w:trHeight w:val="560"/>
        </w:trPr>
        <w:tc>
          <w:tcPr>
            <w:tcW w:w="9735" w:type="dxa"/>
            <w:gridSpan w:val="5"/>
            <w:shd w:val="clear" w:color="auto" w:fill="auto"/>
          </w:tcPr>
          <w:p w:rsidR="004212A9" w:rsidRPr="00084584" w:rsidRDefault="00DB5D5E" w:rsidP="003B0605">
            <w:pPr>
              <w:ind w:right="386"/>
              <w:rPr>
                <w:b/>
              </w:rPr>
            </w:pPr>
            <w:r w:rsidRPr="00187083">
              <w:rPr>
                <w:b/>
              </w:rPr>
              <w:t xml:space="preserve">Table </w:t>
            </w:r>
            <w:r w:rsidR="00895AE4" w:rsidRPr="00EB6894">
              <w:rPr>
                <w:b/>
              </w:rPr>
              <w:t>7</w:t>
            </w:r>
            <w:r w:rsidR="004212A9" w:rsidRPr="00084584">
              <w:rPr>
                <w:b/>
              </w:rPr>
              <w:t xml:space="preserve"> :  Summary General</w:t>
            </w:r>
            <w:r w:rsidR="00A00E36" w:rsidRPr="00084584">
              <w:rPr>
                <w:b/>
              </w:rPr>
              <w:t xml:space="preserve"> Fund Medium Term Financial Strategy</w:t>
            </w:r>
            <w:r w:rsidR="004212A9" w:rsidRPr="00084584">
              <w:rPr>
                <w:b/>
              </w:rPr>
              <w:t xml:space="preserve"> 201</w:t>
            </w:r>
            <w:r w:rsidR="003B0605">
              <w:rPr>
                <w:b/>
              </w:rPr>
              <w:t>7</w:t>
            </w:r>
            <w:r w:rsidR="004212A9" w:rsidRPr="00084584">
              <w:rPr>
                <w:b/>
              </w:rPr>
              <w:t>/1</w:t>
            </w:r>
            <w:r w:rsidR="003B0605">
              <w:rPr>
                <w:b/>
              </w:rPr>
              <w:t>8</w:t>
            </w:r>
            <w:r w:rsidR="004212A9" w:rsidRPr="00084584">
              <w:rPr>
                <w:b/>
              </w:rPr>
              <w:t xml:space="preserve"> to 20</w:t>
            </w:r>
            <w:r w:rsidR="003B0605">
              <w:rPr>
                <w:b/>
              </w:rPr>
              <w:t>20</w:t>
            </w:r>
            <w:r w:rsidR="004212A9" w:rsidRPr="00084584">
              <w:rPr>
                <w:b/>
              </w:rPr>
              <w:t>/</w:t>
            </w:r>
            <w:r w:rsidR="00895AE4" w:rsidRPr="00084584">
              <w:rPr>
                <w:b/>
              </w:rPr>
              <w:t>2</w:t>
            </w:r>
            <w:r w:rsidR="003B0605">
              <w:rPr>
                <w:b/>
              </w:rPr>
              <w:t>1</w:t>
            </w:r>
          </w:p>
        </w:tc>
      </w:tr>
      <w:tr w:rsidR="003B0605" w:rsidRPr="00084584" w:rsidTr="003B0605">
        <w:trPr>
          <w:trHeight w:val="805"/>
        </w:trPr>
        <w:tc>
          <w:tcPr>
            <w:tcW w:w="3355" w:type="dxa"/>
          </w:tcPr>
          <w:p w:rsidR="003B0605" w:rsidRPr="00084584" w:rsidRDefault="003B0605" w:rsidP="003D0D94">
            <w:pPr>
              <w:ind w:right="386"/>
            </w:pPr>
          </w:p>
        </w:tc>
        <w:tc>
          <w:tcPr>
            <w:tcW w:w="1491" w:type="dxa"/>
            <w:shd w:val="clear" w:color="auto" w:fill="E0E0E0"/>
          </w:tcPr>
          <w:p w:rsidR="003B0605" w:rsidRPr="00084584" w:rsidRDefault="003B0605" w:rsidP="005A5B60">
            <w:pPr>
              <w:spacing w:after="120"/>
              <w:ind w:right="386"/>
              <w:jc w:val="center"/>
              <w:rPr>
                <w:b/>
              </w:rPr>
            </w:pPr>
            <w:r w:rsidRPr="00084584">
              <w:rPr>
                <w:b/>
              </w:rPr>
              <w:t xml:space="preserve">2017/18 </w:t>
            </w:r>
          </w:p>
          <w:p w:rsidR="003B0605" w:rsidRPr="00084584" w:rsidRDefault="003B0605" w:rsidP="005A5B60">
            <w:pPr>
              <w:spacing w:after="120"/>
              <w:ind w:right="386"/>
              <w:jc w:val="center"/>
              <w:rPr>
                <w:b/>
              </w:rPr>
            </w:pPr>
          </w:p>
        </w:tc>
        <w:tc>
          <w:tcPr>
            <w:tcW w:w="1858" w:type="dxa"/>
            <w:shd w:val="clear" w:color="auto" w:fill="E0E0E0"/>
          </w:tcPr>
          <w:p w:rsidR="003B0605" w:rsidRPr="00084584" w:rsidRDefault="003B0605" w:rsidP="00C71FB2">
            <w:pPr>
              <w:spacing w:after="120"/>
              <w:ind w:right="386"/>
              <w:jc w:val="center"/>
              <w:rPr>
                <w:b/>
              </w:rPr>
            </w:pPr>
            <w:r w:rsidRPr="00084584">
              <w:rPr>
                <w:b/>
              </w:rPr>
              <w:t>201</w:t>
            </w:r>
            <w:r>
              <w:rPr>
                <w:b/>
              </w:rPr>
              <w:t>8</w:t>
            </w:r>
            <w:r w:rsidRPr="00084584">
              <w:rPr>
                <w:b/>
              </w:rPr>
              <w:t>/1</w:t>
            </w:r>
            <w:r>
              <w:rPr>
                <w:b/>
              </w:rPr>
              <w:t>9</w:t>
            </w:r>
            <w:r w:rsidRPr="00084584">
              <w:rPr>
                <w:b/>
              </w:rPr>
              <w:t xml:space="preserve"> </w:t>
            </w:r>
          </w:p>
          <w:p w:rsidR="003B0605" w:rsidRPr="00084584" w:rsidRDefault="003B0605" w:rsidP="00C71FB2">
            <w:pPr>
              <w:spacing w:after="120"/>
              <w:ind w:right="386"/>
              <w:jc w:val="center"/>
              <w:rPr>
                <w:b/>
              </w:rPr>
            </w:pPr>
          </w:p>
        </w:tc>
        <w:tc>
          <w:tcPr>
            <w:tcW w:w="1484" w:type="dxa"/>
            <w:shd w:val="clear" w:color="auto" w:fill="E0E0E0"/>
          </w:tcPr>
          <w:p w:rsidR="003B0605" w:rsidRPr="00084584" w:rsidRDefault="003B0605" w:rsidP="003B0605">
            <w:pPr>
              <w:spacing w:after="120"/>
              <w:ind w:right="386"/>
              <w:jc w:val="center"/>
              <w:rPr>
                <w:b/>
              </w:rPr>
            </w:pPr>
            <w:r w:rsidRPr="00084584">
              <w:rPr>
                <w:b/>
              </w:rPr>
              <w:t>201</w:t>
            </w:r>
            <w:r>
              <w:rPr>
                <w:b/>
              </w:rPr>
              <w:t>9</w:t>
            </w:r>
            <w:r w:rsidRPr="00084584">
              <w:rPr>
                <w:b/>
              </w:rPr>
              <w:t>/</w:t>
            </w:r>
            <w:r>
              <w:rPr>
                <w:b/>
              </w:rPr>
              <w:t>20</w:t>
            </w:r>
            <w:r w:rsidRPr="00084584">
              <w:rPr>
                <w:b/>
              </w:rPr>
              <w:t xml:space="preserve"> </w:t>
            </w:r>
          </w:p>
        </w:tc>
        <w:tc>
          <w:tcPr>
            <w:tcW w:w="1547" w:type="dxa"/>
            <w:shd w:val="clear" w:color="auto" w:fill="E0E0E0"/>
          </w:tcPr>
          <w:p w:rsidR="003B0605" w:rsidRPr="00084584" w:rsidRDefault="003B0605" w:rsidP="003B0605">
            <w:pPr>
              <w:spacing w:after="120"/>
              <w:ind w:right="386"/>
              <w:jc w:val="center"/>
              <w:rPr>
                <w:b/>
              </w:rPr>
            </w:pPr>
            <w:r w:rsidRPr="00084584">
              <w:rPr>
                <w:b/>
              </w:rPr>
              <w:t>20</w:t>
            </w:r>
            <w:r>
              <w:rPr>
                <w:b/>
              </w:rPr>
              <w:t>20</w:t>
            </w:r>
            <w:r w:rsidRPr="00084584">
              <w:rPr>
                <w:b/>
              </w:rPr>
              <w:t>/2</w:t>
            </w:r>
            <w:r>
              <w:rPr>
                <w:b/>
              </w:rPr>
              <w:t>1</w:t>
            </w:r>
            <w:r w:rsidRPr="00084584">
              <w:rPr>
                <w:b/>
              </w:rPr>
              <w:t xml:space="preserve"> </w:t>
            </w:r>
          </w:p>
        </w:tc>
      </w:tr>
      <w:tr w:rsidR="00895AE4" w:rsidRPr="00084584" w:rsidTr="003B0605">
        <w:trPr>
          <w:trHeight w:val="280"/>
        </w:trPr>
        <w:tc>
          <w:tcPr>
            <w:tcW w:w="3355" w:type="dxa"/>
          </w:tcPr>
          <w:p w:rsidR="00895AE4" w:rsidRPr="00084584" w:rsidRDefault="00895AE4" w:rsidP="003D0D94">
            <w:pPr>
              <w:ind w:right="386"/>
            </w:pPr>
          </w:p>
        </w:tc>
        <w:tc>
          <w:tcPr>
            <w:tcW w:w="1491" w:type="dxa"/>
            <w:shd w:val="clear" w:color="auto" w:fill="E0E0E0"/>
          </w:tcPr>
          <w:p w:rsidR="00895AE4" w:rsidRPr="00084584" w:rsidRDefault="00895AE4" w:rsidP="003D0D94">
            <w:pPr>
              <w:ind w:right="386"/>
              <w:jc w:val="center"/>
              <w:rPr>
                <w:b/>
              </w:rPr>
            </w:pPr>
            <w:r w:rsidRPr="00084584">
              <w:rPr>
                <w:b/>
              </w:rPr>
              <w:t>£000’s</w:t>
            </w:r>
          </w:p>
        </w:tc>
        <w:tc>
          <w:tcPr>
            <w:tcW w:w="1858" w:type="dxa"/>
            <w:shd w:val="clear" w:color="auto" w:fill="E0E0E0"/>
          </w:tcPr>
          <w:p w:rsidR="00895AE4" w:rsidRPr="00084584" w:rsidRDefault="00895AE4" w:rsidP="003D0D94">
            <w:pPr>
              <w:ind w:right="386"/>
              <w:jc w:val="center"/>
              <w:rPr>
                <w:b/>
              </w:rPr>
            </w:pPr>
            <w:r w:rsidRPr="00084584">
              <w:rPr>
                <w:b/>
              </w:rPr>
              <w:t>£000’s</w:t>
            </w:r>
          </w:p>
        </w:tc>
        <w:tc>
          <w:tcPr>
            <w:tcW w:w="1484" w:type="dxa"/>
            <w:shd w:val="clear" w:color="auto" w:fill="E0E0E0"/>
          </w:tcPr>
          <w:p w:rsidR="00895AE4" w:rsidRPr="00084584" w:rsidRDefault="00895AE4" w:rsidP="003D0D94">
            <w:pPr>
              <w:ind w:right="386"/>
              <w:jc w:val="center"/>
              <w:rPr>
                <w:b/>
              </w:rPr>
            </w:pPr>
            <w:r w:rsidRPr="00084584">
              <w:rPr>
                <w:b/>
              </w:rPr>
              <w:t>£000’s</w:t>
            </w:r>
          </w:p>
        </w:tc>
        <w:tc>
          <w:tcPr>
            <w:tcW w:w="1547" w:type="dxa"/>
            <w:shd w:val="clear" w:color="auto" w:fill="E0E0E0"/>
          </w:tcPr>
          <w:p w:rsidR="00895AE4" w:rsidRPr="00084584" w:rsidRDefault="00895AE4" w:rsidP="003D0D94">
            <w:pPr>
              <w:ind w:right="386"/>
              <w:jc w:val="center"/>
              <w:rPr>
                <w:b/>
              </w:rPr>
            </w:pPr>
            <w:r w:rsidRPr="00084584">
              <w:rPr>
                <w:b/>
              </w:rPr>
              <w:t>£000’s</w:t>
            </w:r>
          </w:p>
        </w:tc>
      </w:tr>
      <w:tr w:rsidR="00895AE4" w:rsidRPr="00084584" w:rsidTr="003B0605">
        <w:trPr>
          <w:trHeight w:val="548"/>
        </w:trPr>
        <w:tc>
          <w:tcPr>
            <w:tcW w:w="3355" w:type="dxa"/>
          </w:tcPr>
          <w:p w:rsidR="00895AE4" w:rsidRPr="00084584" w:rsidRDefault="00895AE4" w:rsidP="003D0D94">
            <w:pPr>
              <w:ind w:right="386"/>
              <w:rPr>
                <w:b/>
              </w:rPr>
            </w:pPr>
            <w:r w:rsidRPr="00084584">
              <w:rPr>
                <w:b/>
              </w:rPr>
              <w:lastRenderedPageBreak/>
              <w:t>Net Expenditure per Consultation Budget</w:t>
            </w:r>
          </w:p>
        </w:tc>
        <w:tc>
          <w:tcPr>
            <w:tcW w:w="1491" w:type="dxa"/>
          </w:tcPr>
          <w:p w:rsidR="00895AE4" w:rsidRPr="00084584" w:rsidRDefault="004442B2" w:rsidP="00F061E6">
            <w:pPr>
              <w:jc w:val="right"/>
              <w:rPr>
                <w:b/>
              </w:rPr>
            </w:pPr>
            <w:r>
              <w:rPr>
                <w:b/>
              </w:rPr>
              <w:t>21,281</w:t>
            </w:r>
          </w:p>
        </w:tc>
        <w:tc>
          <w:tcPr>
            <w:tcW w:w="1858" w:type="dxa"/>
          </w:tcPr>
          <w:p w:rsidR="00895AE4" w:rsidRPr="00084584" w:rsidRDefault="004442B2" w:rsidP="00F061E6">
            <w:pPr>
              <w:jc w:val="right"/>
              <w:rPr>
                <w:b/>
              </w:rPr>
            </w:pPr>
            <w:r>
              <w:rPr>
                <w:b/>
              </w:rPr>
              <w:t>22,212</w:t>
            </w:r>
          </w:p>
        </w:tc>
        <w:tc>
          <w:tcPr>
            <w:tcW w:w="1484" w:type="dxa"/>
          </w:tcPr>
          <w:p w:rsidR="00895AE4" w:rsidRPr="00084584" w:rsidRDefault="004442B2" w:rsidP="00CF29F4">
            <w:pPr>
              <w:ind w:right="-6"/>
              <w:jc w:val="right"/>
              <w:rPr>
                <w:b/>
              </w:rPr>
            </w:pPr>
            <w:r>
              <w:rPr>
                <w:b/>
              </w:rPr>
              <w:t>21,877</w:t>
            </w:r>
          </w:p>
        </w:tc>
        <w:tc>
          <w:tcPr>
            <w:tcW w:w="1547" w:type="dxa"/>
          </w:tcPr>
          <w:p w:rsidR="00895AE4" w:rsidRPr="00084584" w:rsidRDefault="004442B2" w:rsidP="00143CAE">
            <w:pPr>
              <w:ind w:right="46"/>
              <w:jc w:val="right"/>
              <w:rPr>
                <w:b/>
              </w:rPr>
            </w:pPr>
            <w:r>
              <w:rPr>
                <w:b/>
              </w:rPr>
              <w:t>22,298</w:t>
            </w:r>
          </w:p>
        </w:tc>
      </w:tr>
      <w:tr w:rsidR="00B83CDE" w:rsidRPr="00084584" w:rsidTr="003B0605">
        <w:trPr>
          <w:trHeight w:val="560"/>
        </w:trPr>
        <w:tc>
          <w:tcPr>
            <w:tcW w:w="3355" w:type="dxa"/>
          </w:tcPr>
          <w:p w:rsidR="00B83CDE" w:rsidRPr="00084584" w:rsidRDefault="00B83CDE" w:rsidP="00895AE4">
            <w:pPr>
              <w:ind w:right="386"/>
            </w:pPr>
            <w:r w:rsidRPr="00084584">
              <w:t xml:space="preserve">New Homes Bonus per table 5 </w:t>
            </w:r>
          </w:p>
        </w:tc>
        <w:tc>
          <w:tcPr>
            <w:tcW w:w="1491" w:type="dxa"/>
          </w:tcPr>
          <w:p w:rsidR="00B83CDE" w:rsidRPr="00B83CDE" w:rsidRDefault="00B83CDE" w:rsidP="004D4B44">
            <w:pPr>
              <w:tabs>
                <w:tab w:val="left" w:pos="1404"/>
              </w:tabs>
              <w:jc w:val="right"/>
            </w:pPr>
            <w:r w:rsidRPr="00B83CDE">
              <w:t>(643)</w:t>
            </w:r>
          </w:p>
        </w:tc>
        <w:tc>
          <w:tcPr>
            <w:tcW w:w="1858" w:type="dxa"/>
          </w:tcPr>
          <w:p w:rsidR="00B83CDE" w:rsidRPr="00B83CDE" w:rsidRDefault="00B83CDE" w:rsidP="004D4B44">
            <w:pPr>
              <w:jc w:val="right"/>
            </w:pPr>
            <w:r w:rsidRPr="00B83CDE">
              <w:t>(78)</w:t>
            </w:r>
          </w:p>
        </w:tc>
        <w:tc>
          <w:tcPr>
            <w:tcW w:w="1484" w:type="dxa"/>
          </w:tcPr>
          <w:p w:rsidR="00B83CDE" w:rsidRPr="00B83CDE" w:rsidRDefault="00B83CDE" w:rsidP="004D4B44">
            <w:pPr>
              <w:ind w:right="-6"/>
              <w:jc w:val="right"/>
            </w:pPr>
            <w:r w:rsidRPr="00B83CDE">
              <w:t>160</w:t>
            </w:r>
          </w:p>
        </w:tc>
        <w:tc>
          <w:tcPr>
            <w:tcW w:w="1547" w:type="dxa"/>
          </w:tcPr>
          <w:p w:rsidR="00B83CDE" w:rsidRPr="00B83CDE" w:rsidRDefault="00B83CDE" w:rsidP="004D4B44">
            <w:pPr>
              <w:tabs>
                <w:tab w:val="left" w:pos="1350"/>
              </w:tabs>
              <w:jc w:val="right"/>
            </w:pPr>
            <w:r w:rsidRPr="00B83CDE">
              <w:t>407</w:t>
            </w:r>
          </w:p>
        </w:tc>
      </w:tr>
      <w:tr w:rsidR="00342A4E" w:rsidRPr="00084584" w:rsidTr="00565375">
        <w:trPr>
          <w:trHeight w:val="560"/>
        </w:trPr>
        <w:tc>
          <w:tcPr>
            <w:tcW w:w="3355" w:type="dxa"/>
          </w:tcPr>
          <w:p w:rsidR="00342A4E" w:rsidRPr="00084584" w:rsidRDefault="00342A4E" w:rsidP="00895AE4">
            <w:pPr>
              <w:ind w:right="386"/>
            </w:pPr>
            <w:r w:rsidRPr="00084584">
              <w:t>Summary of other changes per table 6</w:t>
            </w:r>
          </w:p>
        </w:tc>
        <w:tc>
          <w:tcPr>
            <w:tcW w:w="1491" w:type="dxa"/>
            <w:shd w:val="clear" w:color="auto" w:fill="auto"/>
          </w:tcPr>
          <w:p w:rsidR="00342A4E" w:rsidRPr="00342A4E" w:rsidRDefault="00342A4E" w:rsidP="004502D6">
            <w:pPr>
              <w:spacing w:after="120"/>
              <w:ind w:right="34"/>
              <w:jc w:val="right"/>
            </w:pPr>
            <w:r w:rsidRPr="00342A4E">
              <w:t>25</w:t>
            </w:r>
          </w:p>
        </w:tc>
        <w:tc>
          <w:tcPr>
            <w:tcW w:w="1858" w:type="dxa"/>
            <w:shd w:val="clear" w:color="auto" w:fill="auto"/>
          </w:tcPr>
          <w:p w:rsidR="00342A4E" w:rsidRPr="00342A4E" w:rsidRDefault="00342A4E" w:rsidP="004502D6">
            <w:pPr>
              <w:spacing w:after="120"/>
              <w:ind w:right="123"/>
              <w:jc w:val="right"/>
            </w:pPr>
            <w:r w:rsidRPr="00342A4E">
              <w:t>139</w:t>
            </w:r>
          </w:p>
        </w:tc>
        <w:tc>
          <w:tcPr>
            <w:tcW w:w="1484" w:type="dxa"/>
            <w:shd w:val="clear" w:color="auto" w:fill="auto"/>
          </w:tcPr>
          <w:p w:rsidR="00342A4E" w:rsidRPr="00342A4E" w:rsidRDefault="00342A4E" w:rsidP="004502D6">
            <w:pPr>
              <w:spacing w:after="120"/>
              <w:ind w:right="34"/>
              <w:jc w:val="right"/>
            </w:pPr>
            <w:r w:rsidRPr="00342A4E">
              <w:t>(125)</w:t>
            </w:r>
          </w:p>
        </w:tc>
        <w:tc>
          <w:tcPr>
            <w:tcW w:w="1547" w:type="dxa"/>
            <w:shd w:val="clear" w:color="auto" w:fill="auto"/>
          </w:tcPr>
          <w:p w:rsidR="00342A4E" w:rsidRPr="00342A4E" w:rsidRDefault="00342A4E" w:rsidP="004502D6">
            <w:pPr>
              <w:tabs>
                <w:tab w:val="left" w:pos="1167"/>
              </w:tabs>
              <w:spacing w:after="120"/>
              <w:ind w:right="107"/>
              <w:jc w:val="right"/>
            </w:pPr>
            <w:r w:rsidRPr="00342A4E">
              <w:t>(377)</w:t>
            </w:r>
          </w:p>
        </w:tc>
      </w:tr>
      <w:tr w:rsidR="00342A4E" w:rsidRPr="00687CAB" w:rsidTr="003B0605">
        <w:trPr>
          <w:trHeight w:val="280"/>
        </w:trPr>
        <w:tc>
          <w:tcPr>
            <w:tcW w:w="3355" w:type="dxa"/>
          </w:tcPr>
          <w:p w:rsidR="00342A4E" w:rsidRPr="00687CAB" w:rsidRDefault="00342A4E" w:rsidP="003D0D94">
            <w:pPr>
              <w:ind w:right="386"/>
            </w:pPr>
            <w:r w:rsidRPr="00687CAB">
              <w:t>Additional transfer to/(from) working balances</w:t>
            </w:r>
          </w:p>
        </w:tc>
        <w:tc>
          <w:tcPr>
            <w:tcW w:w="1491" w:type="dxa"/>
          </w:tcPr>
          <w:p w:rsidR="00342A4E" w:rsidRPr="00687CAB" w:rsidRDefault="00342A4E" w:rsidP="00342A4E">
            <w:pPr>
              <w:tabs>
                <w:tab w:val="left" w:pos="1404"/>
              </w:tabs>
              <w:jc w:val="right"/>
            </w:pPr>
            <w:r w:rsidRPr="00687CAB">
              <w:t>392</w:t>
            </w:r>
          </w:p>
        </w:tc>
        <w:tc>
          <w:tcPr>
            <w:tcW w:w="1858" w:type="dxa"/>
          </w:tcPr>
          <w:p w:rsidR="00342A4E" w:rsidRPr="00687CAB" w:rsidRDefault="00342A4E" w:rsidP="00342A4E">
            <w:pPr>
              <w:jc w:val="right"/>
            </w:pPr>
            <w:r w:rsidRPr="00687CAB">
              <w:t>(219)</w:t>
            </w:r>
          </w:p>
        </w:tc>
        <w:tc>
          <w:tcPr>
            <w:tcW w:w="1484" w:type="dxa"/>
          </w:tcPr>
          <w:p w:rsidR="00342A4E" w:rsidRPr="00687CAB" w:rsidRDefault="00342A4E" w:rsidP="00342A4E">
            <w:pPr>
              <w:ind w:right="-6"/>
              <w:jc w:val="right"/>
            </w:pPr>
            <w:r w:rsidRPr="00687CAB">
              <w:t>(167)</w:t>
            </w:r>
          </w:p>
        </w:tc>
        <w:tc>
          <w:tcPr>
            <w:tcW w:w="1547" w:type="dxa"/>
          </w:tcPr>
          <w:p w:rsidR="00342A4E" w:rsidRPr="00687CAB" w:rsidRDefault="00342A4E" w:rsidP="00342A4E">
            <w:pPr>
              <w:tabs>
                <w:tab w:val="left" w:pos="1254"/>
              </w:tabs>
              <w:jc w:val="right"/>
            </w:pPr>
            <w:r w:rsidRPr="00687CAB">
              <w:t>(165)</w:t>
            </w:r>
          </w:p>
        </w:tc>
      </w:tr>
      <w:tr w:rsidR="00342A4E" w:rsidRPr="00687CAB" w:rsidTr="003B0605">
        <w:trPr>
          <w:trHeight w:val="280"/>
        </w:trPr>
        <w:tc>
          <w:tcPr>
            <w:tcW w:w="3355" w:type="dxa"/>
          </w:tcPr>
          <w:p w:rsidR="00342A4E" w:rsidRPr="00687CAB" w:rsidRDefault="00342A4E" w:rsidP="003D0D94">
            <w:pPr>
              <w:ind w:right="386"/>
            </w:pPr>
          </w:p>
        </w:tc>
        <w:tc>
          <w:tcPr>
            <w:tcW w:w="1491" w:type="dxa"/>
          </w:tcPr>
          <w:p w:rsidR="00342A4E" w:rsidRPr="00687CAB" w:rsidRDefault="00342A4E" w:rsidP="003D0D94">
            <w:pPr>
              <w:tabs>
                <w:tab w:val="left" w:pos="1404"/>
              </w:tabs>
              <w:jc w:val="right"/>
            </w:pPr>
          </w:p>
        </w:tc>
        <w:tc>
          <w:tcPr>
            <w:tcW w:w="1858" w:type="dxa"/>
          </w:tcPr>
          <w:p w:rsidR="00342A4E" w:rsidRPr="00687CAB" w:rsidRDefault="00342A4E" w:rsidP="003D0D94">
            <w:pPr>
              <w:jc w:val="right"/>
            </w:pPr>
          </w:p>
        </w:tc>
        <w:tc>
          <w:tcPr>
            <w:tcW w:w="1484" w:type="dxa"/>
          </w:tcPr>
          <w:p w:rsidR="00342A4E" w:rsidRPr="00687CAB" w:rsidRDefault="00342A4E" w:rsidP="003D0D94">
            <w:pPr>
              <w:ind w:right="-6"/>
              <w:jc w:val="right"/>
            </w:pPr>
          </w:p>
        </w:tc>
        <w:tc>
          <w:tcPr>
            <w:tcW w:w="1547" w:type="dxa"/>
          </w:tcPr>
          <w:p w:rsidR="00342A4E" w:rsidRPr="00687CAB" w:rsidRDefault="00342A4E" w:rsidP="003D0D94">
            <w:pPr>
              <w:tabs>
                <w:tab w:val="left" w:pos="1254"/>
              </w:tabs>
              <w:jc w:val="right"/>
            </w:pPr>
          </w:p>
        </w:tc>
      </w:tr>
      <w:tr w:rsidR="00342A4E" w:rsidRPr="00687CAB" w:rsidTr="003B0605">
        <w:trPr>
          <w:trHeight w:val="280"/>
        </w:trPr>
        <w:tc>
          <w:tcPr>
            <w:tcW w:w="3355" w:type="dxa"/>
          </w:tcPr>
          <w:p w:rsidR="00342A4E" w:rsidRPr="00687CAB" w:rsidRDefault="00342A4E" w:rsidP="003D0D94">
            <w:pPr>
              <w:ind w:right="386"/>
              <w:rPr>
                <w:b/>
              </w:rPr>
            </w:pPr>
            <w:r w:rsidRPr="00687CAB">
              <w:rPr>
                <w:b/>
              </w:rPr>
              <w:t>Net Budget Requirement</w:t>
            </w:r>
          </w:p>
        </w:tc>
        <w:tc>
          <w:tcPr>
            <w:tcW w:w="1491" w:type="dxa"/>
          </w:tcPr>
          <w:p w:rsidR="00342A4E" w:rsidRPr="00687CAB" w:rsidRDefault="00342A4E" w:rsidP="00DD1432">
            <w:pPr>
              <w:tabs>
                <w:tab w:val="left" w:pos="1404"/>
              </w:tabs>
              <w:jc w:val="right"/>
              <w:rPr>
                <w:b/>
              </w:rPr>
            </w:pPr>
            <w:r w:rsidRPr="00687CAB">
              <w:rPr>
                <w:b/>
              </w:rPr>
              <w:t>21,055</w:t>
            </w:r>
          </w:p>
        </w:tc>
        <w:tc>
          <w:tcPr>
            <w:tcW w:w="1858" w:type="dxa"/>
          </w:tcPr>
          <w:p w:rsidR="00342A4E" w:rsidRPr="00687CAB" w:rsidRDefault="00342A4E" w:rsidP="00565375">
            <w:pPr>
              <w:jc w:val="right"/>
              <w:rPr>
                <w:b/>
              </w:rPr>
            </w:pPr>
            <w:r w:rsidRPr="00687CAB">
              <w:rPr>
                <w:b/>
              </w:rPr>
              <w:t>22,054</w:t>
            </w:r>
          </w:p>
        </w:tc>
        <w:tc>
          <w:tcPr>
            <w:tcW w:w="1484" w:type="dxa"/>
          </w:tcPr>
          <w:p w:rsidR="00342A4E" w:rsidRPr="00687CAB" w:rsidRDefault="00342A4E" w:rsidP="003E01C8">
            <w:pPr>
              <w:ind w:right="-6"/>
              <w:jc w:val="right"/>
              <w:rPr>
                <w:b/>
              </w:rPr>
            </w:pPr>
            <w:r w:rsidRPr="00687CAB">
              <w:rPr>
                <w:b/>
              </w:rPr>
              <w:t>21,7</w:t>
            </w:r>
            <w:r w:rsidR="003E01C8" w:rsidRPr="00687CAB">
              <w:rPr>
                <w:b/>
              </w:rPr>
              <w:t>4</w:t>
            </w:r>
            <w:r w:rsidRPr="00687CAB">
              <w:rPr>
                <w:b/>
              </w:rPr>
              <w:t>5</w:t>
            </w:r>
          </w:p>
        </w:tc>
        <w:tc>
          <w:tcPr>
            <w:tcW w:w="1547" w:type="dxa"/>
          </w:tcPr>
          <w:p w:rsidR="00342A4E" w:rsidRPr="00687CAB" w:rsidRDefault="00342A4E" w:rsidP="00DD1432">
            <w:pPr>
              <w:tabs>
                <w:tab w:val="left" w:pos="1254"/>
              </w:tabs>
              <w:jc w:val="right"/>
              <w:rPr>
                <w:b/>
              </w:rPr>
            </w:pPr>
            <w:r w:rsidRPr="00687CAB">
              <w:rPr>
                <w:b/>
              </w:rPr>
              <w:t>22,163</w:t>
            </w:r>
          </w:p>
        </w:tc>
      </w:tr>
      <w:tr w:rsidR="00342A4E" w:rsidRPr="00687CAB" w:rsidTr="003B0605">
        <w:trPr>
          <w:trHeight w:val="268"/>
        </w:trPr>
        <w:tc>
          <w:tcPr>
            <w:tcW w:w="3355" w:type="dxa"/>
          </w:tcPr>
          <w:p w:rsidR="00342A4E" w:rsidRPr="00687CAB" w:rsidRDefault="00342A4E" w:rsidP="003D0D94">
            <w:pPr>
              <w:ind w:right="386"/>
            </w:pPr>
          </w:p>
        </w:tc>
        <w:tc>
          <w:tcPr>
            <w:tcW w:w="1491" w:type="dxa"/>
          </w:tcPr>
          <w:p w:rsidR="00342A4E" w:rsidRPr="00687CAB" w:rsidRDefault="00342A4E" w:rsidP="003D0D94">
            <w:pPr>
              <w:tabs>
                <w:tab w:val="left" w:pos="1404"/>
              </w:tabs>
              <w:jc w:val="right"/>
            </w:pPr>
          </w:p>
        </w:tc>
        <w:tc>
          <w:tcPr>
            <w:tcW w:w="1858" w:type="dxa"/>
          </w:tcPr>
          <w:p w:rsidR="00342A4E" w:rsidRPr="00687CAB" w:rsidRDefault="00342A4E" w:rsidP="003D0D94">
            <w:pPr>
              <w:jc w:val="right"/>
            </w:pPr>
          </w:p>
        </w:tc>
        <w:tc>
          <w:tcPr>
            <w:tcW w:w="1484" w:type="dxa"/>
          </w:tcPr>
          <w:p w:rsidR="00342A4E" w:rsidRPr="00687CAB" w:rsidRDefault="00342A4E" w:rsidP="003D0D94">
            <w:pPr>
              <w:ind w:right="-6"/>
              <w:jc w:val="right"/>
            </w:pPr>
          </w:p>
        </w:tc>
        <w:tc>
          <w:tcPr>
            <w:tcW w:w="1547" w:type="dxa"/>
          </w:tcPr>
          <w:p w:rsidR="00342A4E" w:rsidRPr="00687CAB" w:rsidRDefault="00342A4E" w:rsidP="003D0D94">
            <w:pPr>
              <w:tabs>
                <w:tab w:val="left" w:pos="1254"/>
              </w:tabs>
              <w:jc w:val="right"/>
            </w:pPr>
          </w:p>
        </w:tc>
      </w:tr>
      <w:tr w:rsidR="00342A4E" w:rsidRPr="00687CAB" w:rsidTr="00687CAB">
        <w:trPr>
          <w:trHeight w:val="424"/>
        </w:trPr>
        <w:tc>
          <w:tcPr>
            <w:tcW w:w="3355" w:type="dxa"/>
          </w:tcPr>
          <w:p w:rsidR="00342A4E" w:rsidRPr="00687CAB" w:rsidRDefault="00342A4E" w:rsidP="003D0D94">
            <w:pPr>
              <w:ind w:right="386"/>
              <w:rPr>
                <w:b/>
              </w:rPr>
            </w:pPr>
            <w:r w:rsidRPr="00687CAB">
              <w:rPr>
                <w:b/>
              </w:rPr>
              <w:t>FUNDING **</w:t>
            </w:r>
          </w:p>
        </w:tc>
        <w:tc>
          <w:tcPr>
            <w:tcW w:w="1491" w:type="dxa"/>
          </w:tcPr>
          <w:p w:rsidR="00342A4E" w:rsidRPr="00687CAB" w:rsidRDefault="00342A4E" w:rsidP="003D0D94">
            <w:pPr>
              <w:tabs>
                <w:tab w:val="left" w:pos="1404"/>
              </w:tabs>
              <w:jc w:val="right"/>
            </w:pPr>
          </w:p>
        </w:tc>
        <w:tc>
          <w:tcPr>
            <w:tcW w:w="1858" w:type="dxa"/>
          </w:tcPr>
          <w:p w:rsidR="00342A4E" w:rsidRPr="00687CAB" w:rsidRDefault="00342A4E" w:rsidP="003D0D94">
            <w:pPr>
              <w:jc w:val="right"/>
            </w:pPr>
          </w:p>
        </w:tc>
        <w:tc>
          <w:tcPr>
            <w:tcW w:w="1484" w:type="dxa"/>
          </w:tcPr>
          <w:p w:rsidR="00342A4E" w:rsidRPr="00687CAB" w:rsidRDefault="00342A4E" w:rsidP="003D0D94">
            <w:pPr>
              <w:ind w:right="-6"/>
              <w:jc w:val="right"/>
            </w:pPr>
          </w:p>
        </w:tc>
        <w:tc>
          <w:tcPr>
            <w:tcW w:w="1547" w:type="dxa"/>
          </w:tcPr>
          <w:p w:rsidR="00342A4E" w:rsidRPr="00687CAB" w:rsidRDefault="00342A4E" w:rsidP="003D0D94">
            <w:pPr>
              <w:tabs>
                <w:tab w:val="left" w:pos="1254"/>
              </w:tabs>
              <w:jc w:val="right"/>
            </w:pPr>
          </w:p>
        </w:tc>
      </w:tr>
      <w:tr w:rsidR="00342A4E" w:rsidRPr="00687CAB" w:rsidTr="003B0605">
        <w:trPr>
          <w:trHeight w:val="280"/>
        </w:trPr>
        <w:tc>
          <w:tcPr>
            <w:tcW w:w="3355" w:type="dxa"/>
          </w:tcPr>
          <w:p w:rsidR="00342A4E" w:rsidRPr="00687CAB" w:rsidRDefault="00342A4E" w:rsidP="003D0D94">
            <w:pPr>
              <w:ind w:right="386"/>
            </w:pPr>
            <w:r w:rsidRPr="00687CAB">
              <w:t xml:space="preserve">Council Tax </w:t>
            </w:r>
          </w:p>
        </w:tc>
        <w:tc>
          <w:tcPr>
            <w:tcW w:w="1491" w:type="dxa"/>
          </w:tcPr>
          <w:p w:rsidR="00342A4E" w:rsidRPr="00687CAB" w:rsidRDefault="00342A4E" w:rsidP="004D4B44">
            <w:pPr>
              <w:tabs>
                <w:tab w:val="left" w:pos="1404"/>
              </w:tabs>
              <w:jc w:val="right"/>
            </w:pPr>
            <w:r w:rsidRPr="00687CAB">
              <w:t>(12,949)</w:t>
            </w:r>
          </w:p>
        </w:tc>
        <w:tc>
          <w:tcPr>
            <w:tcW w:w="1858" w:type="dxa"/>
          </w:tcPr>
          <w:p w:rsidR="00342A4E" w:rsidRPr="00687CAB" w:rsidRDefault="00342A4E" w:rsidP="004D4B44">
            <w:pPr>
              <w:jc w:val="right"/>
            </w:pPr>
            <w:r w:rsidRPr="00687CAB">
              <w:t>(13,339)</w:t>
            </w:r>
          </w:p>
        </w:tc>
        <w:tc>
          <w:tcPr>
            <w:tcW w:w="1484" w:type="dxa"/>
          </w:tcPr>
          <w:p w:rsidR="00342A4E" w:rsidRPr="00687CAB" w:rsidRDefault="00342A4E" w:rsidP="004D4B44">
            <w:pPr>
              <w:ind w:right="-6"/>
              <w:jc w:val="right"/>
            </w:pPr>
            <w:r w:rsidRPr="00687CAB">
              <w:t>(13,740)</w:t>
            </w:r>
          </w:p>
        </w:tc>
        <w:tc>
          <w:tcPr>
            <w:tcW w:w="1547" w:type="dxa"/>
          </w:tcPr>
          <w:p w:rsidR="00342A4E" w:rsidRPr="00687CAB" w:rsidRDefault="00342A4E" w:rsidP="004D4B44">
            <w:pPr>
              <w:tabs>
                <w:tab w:val="left" w:pos="1254"/>
              </w:tabs>
              <w:jc w:val="right"/>
            </w:pPr>
            <w:r w:rsidRPr="00687CAB">
              <w:t>(14,154)</w:t>
            </w:r>
          </w:p>
        </w:tc>
      </w:tr>
      <w:tr w:rsidR="00342A4E" w:rsidRPr="00687CAB" w:rsidTr="003B0605">
        <w:trPr>
          <w:trHeight w:val="280"/>
        </w:trPr>
        <w:tc>
          <w:tcPr>
            <w:tcW w:w="3355" w:type="dxa"/>
          </w:tcPr>
          <w:p w:rsidR="00342A4E" w:rsidRPr="00687CAB" w:rsidRDefault="00342A4E" w:rsidP="003D0D94">
            <w:pPr>
              <w:ind w:right="386"/>
            </w:pPr>
            <w:r w:rsidRPr="00687CAB">
              <w:t>Revenue Support Grant</w:t>
            </w:r>
          </w:p>
        </w:tc>
        <w:tc>
          <w:tcPr>
            <w:tcW w:w="1491" w:type="dxa"/>
          </w:tcPr>
          <w:p w:rsidR="00342A4E" w:rsidRPr="00687CAB" w:rsidRDefault="00342A4E" w:rsidP="004D4B44">
            <w:pPr>
              <w:tabs>
                <w:tab w:val="left" w:pos="1404"/>
              </w:tabs>
              <w:jc w:val="right"/>
            </w:pPr>
            <w:r w:rsidRPr="00687CAB">
              <w:t>(1,460)</w:t>
            </w:r>
          </w:p>
        </w:tc>
        <w:tc>
          <w:tcPr>
            <w:tcW w:w="1858" w:type="dxa"/>
          </w:tcPr>
          <w:p w:rsidR="00342A4E" w:rsidRPr="00687CAB" w:rsidRDefault="00342A4E" w:rsidP="004D4B44">
            <w:pPr>
              <w:jc w:val="right"/>
            </w:pPr>
            <w:r w:rsidRPr="00687CAB">
              <w:t>(630)</w:t>
            </w:r>
          </w:p>
        </w:tc>
        <w:tc>
          <w:tcPr>
            <w:tcW w:w="1484" w:type="dxa"/>
          </w:tcPr>
          <w:p w:rsidR="00342A4E" w:rsidRPr="00687CAB" w:rsidRDefault="00342A4E" w:rsidP="004D4B44">
            <w:pPr>
              <w:ind w:right="-6"/>
              <w:jc w:val="right"/>
            </w:pPr>
            <w:r w:rsidRPr="00687CAB">
              <w:t>0</w:t>
            </w:r>
          </w:p>
        </w:tc>
        <w:tc>
          <w:tcPr>
            <w:tcW w:w="1547" w:type="dxa"/>
          </w:tcPr>
          <w:p w:rsidR="00342A4E" w:rsidRPr="00687CAB" w:rsidRDefault="00342A4E" w:rsidP="004D4B44">
            <w:pPr>
              <w:tabs>
                <w:tab w:val="left" w:pos="1254"/>
              </w:tabs>
              <w:jc w:val="right"/>
            </w:pPr>
            <w:r w:rsidRPr="00687CAB">
              <w:t>0</w:t>
            </w:r>
          </w:p>
        </w:tc>
      </w:tr>
      <w:tr w:rsidR="00342A4E" w:rsidRPr="00687CAB" w:rsidTr="003B0605">
        <w:trPr>
          <w:trHeight w:val="280"/>
        </w:trPr>
        <w:tc>
          <w:tcPr>
            <w:tcW w:w="3355" w:type="dxa"/>
          </w:tcPr>
          <w:p w:rsidR="00342A4E" w:rsidRPr="00687CAB" w:rsidRDefault="00342A4E" w:rsidP="003D0D94">
            <w:pPr>
              <w:ind w:right="386"/>
            </w:pPr>
            <w:r w:rsidRPr="00687CAB">
              <w:t>Retained Business Rates</w:t>
            </w:r>
          </w:p>
        </w:tc>
        <w:tc>
          <w:tcPr>
            <w:tcW w:w="1491" w:type="dxa"/>
          </w:tcPr>
          <w:p w:rsidR="00342A4E" w:rsidRPr="00687CAB" w:rsidRDefault="00342A4E" w:rsidP="00BD67E6">
            <w:pPr>
              <w:tabs>
                <w:tab w:val="left" w:pos="1404"/>
              </w:tabs>
              <w:jc w:val="right"/>
            </w:pPr>
            <w:r w:rsidRPr="00687CAB">
              <w:t>(6,646)</w:t>
            </w:r>
          </w:p>
        </w:tc>
        <w:tc>
          <w:tcPr>
            <w:tcW w:w="1858" w:type="dxa"/>
          </w:tcPr>
          <w:p w:rsidR="00342A4E" w:rsidRPr="00687CAB" w:rsidRDefault="00342A4E" w:rsidP="00CF29F4">
            <w:pPr>
              <w:jc w:val="right"/>
            </w:pPr>
            <w:r w:rsidRPr="00687CAB">
              <w:t>(8,085)</w:t>
            </w:r>
          </w:p>
        </w:tc>
        <w:tc>
          <w:tcPr>
            <w:tcW w:w="1484" w:type="dxa"/>
          </w:tcPr>
          <w:p w:rsidR="00342A4E" w:rsidRPr="00687CAB" w:rsidRDefault="00342A4E" w:rsidP="003D0D94">
            <w:pPr>
              <w:ind w:right="-6"/>
              <w:jc w:val="right"/>
            </w:pPr>
            <w:r w:rsidRPr="00687CAB">
              <w:t>(8,005)</w:t>
            </w:r>
          </w:p>
        </w:tc>
        <w:tc>
          <w:tcPr>
            <w:tcW w:w="1547" w:type="dxa"/>
          </w:tcPr>
          <w:p w:rsidR="00342A4E" w:rsidRPr="00687CAB" w:rsidRDefault="00342A4E" w:rsidP="00143CAE">
            <w:pPr>
              <w:tabs>
                <w:tab w:val="left" w:pos="1254"/>
              </w:tabs>
              <w:jc w:val="right"/>
            </w:pPr>
            <w:r w:rsidRPr="00687CAB">
              <w:t>(8,009)</w:t>
            </w:r>
          </w:p>
        </w:tc>
      </w:tr>
      <w:tr w:rsidR="00342A4E" w:rsidRPr="00687CAB" w:rsidTr="003B0605">
        <w:trPr>
          <w:trHeight w:val="280"/>
        </w:trPr>
        <w:tc>
          <w:tcPr>
            <w:tcW w:w="3355" w:type="dxa"/>
          </w:tcPr>
          <w:p w:rsidR="00342A4E" w:rsidRPr="00687CAB" w:rsidRDefault="00342A4E" w:rsidP="003D0D94">
            <w:pPr>
              <w:ind w:right="386"/>
              <w:rPr>
                <w:b/>
              </w:rPr>
            </w:pPr>
            <w:r w:rsidRPr="00687CAB">
              <w:rPr>
                <w:b/>
              </w:rPr>
              <w:t>Total</w:t>
            </w:r>
          </w:p>
        </w:tc>
        <w:tc>
          <w:tcPr>
            <w:tcW w:w="1491" w:type="dxa"/>
          </w:tcPr>
          <w:p w:rsidR="00342A4E" w:rsidRPr="00687CAB" w:rsidRDefault="00342A4E" w:rsidP="00C71FB2">
            <w:pPr>
              <w:tabs>
                <w:tab w:val="left" w:pos="1404"/>
              </w:tabs>
              <w:jc w:val="right"/>
              <w:rPr>
                <w:b/>
              </w:rPr>
            </w:pPr>
            <w:r w:rsidRPr="00687CAB">
              <w:rPr>
                <w:b/>
              </w:rPr>
              <w:t>(21,055)</w:t>
            </w:r>
          </w:p>
        </w:tc>
        <w:tc>
          <w:tcPr>
            <w:tcW w:w="1858" w:type="dxa"/>
          </w:tcPr>
          <w:p w:rsidR="00342A4E" w:rsidRPr="00687CAB" w:rsidRDefault="00342A4E" w:rsidP="00696752">
            <w:pPr>
              <w:jc w:val="right"/>
              <w:rPr>
                <w:b/>
              </w:rPr>
            </w:pPr>
            <w:r w:rsidRPr="00687CAB">
              <w:rPr>
                <w:b/>
              </w:rPr>
              <w:t>(22,054)</w:t>
            </w:r>
          </w:p>
        </w:tc>
        <w:tc>
          <w:tcPr>
            <w:tcW w:w="1484" w:type="dxa"/>
          </w:tcPr>
          <w:p w:rsidR="00342A4E" w:rsidRPr="00687CAB" w:rsidRDefault="00342A4E" w:rsidP="00696752">
            <w:pPr>
              <w:ind w:right="-6"/>
              <w:jc w:val="right"/>
              <w:rPr>
                <w:b/>
              </w:rPr>
            </w:pPr>
            <w:r w:rsidRPr="00687CAB">
              <w:rPr>
                <w:b/>
              </w:rPr>
              <w:t>(21,745)</w:t>
            </w:r>
          </w:p>
        </w:tc>
        <w:tc>
          <w:tcPr>
            <w:tcW w:w="1547" w:type="dxa"/>
          </w:tcPr>
          <w:p w:rsidR="00342A4E" w:rsidRPr="00687CAB" w:rsidRDefault="00342A4E" w:rsidP="00143CAE">
            <w:pPr>
              <w:tabs>
                <w:tab w:val="left" w:pos="1254"/>
              </w:tabs>
              <w:jc w:val="right"/>
              <w:rPr>
                <w:b/>
              </w:rPr>
            </w:pPr>
            <w:r w:rsidRPr="00687CAB">
              <w:rPr>
                <w:b/>
              </w:rPr>
              <w:t>(22,163)</w:t>
            </w:r>
          </w:p>
        </w:tc>
      </w:tr>
      <w:tr w:rsidR="00342A4E" w:rsidRPr="00687CAB" w:rsidTr="003B0605">
        <w:trPr>
          <w:trHeight w:val="268"/>
        </w:trPr>
        <w:tc>
          <w:tcPr>
            <w:tcW w:w="3355" w:type="dxa"/>
          </w:tcPr>
          <w:p w:rsidR="00342A4E" w:rsidRPr="00687CAB" w:rsidRDefault="00342A4E" w:rsidP="003D0D94">
            <w:pPr>
              <w:ind w:right="386"/>
              <w:rPr>
                <w:b/>
              </w:rPr>
            </w:pPr>
          </w:p>
        </w:tc>
        <w:tc>
          <w:tcPr>
            <w:tcW w:w="1491" w:type="dxa"/>
          </w:tcPr>
          <w:p w:rsidR="00342A4E" w:rsidRPr="00687CAB" w:rsidRDefault="00342A4E" w:rsidP="003D0D94">
            <w:pPr>
              <w:tabs>
                <w:tab w:val="left" w:pos="1404"/>
              </w:tabs>
              <w:jc w:val="right"/>
              <w:rPr>
                <w:b/>
              </w:rPr>
            </w:pPr>
          </w:p>
        </w:tc>
        <w:tc>
          <w:tcPr>
            <w:tcW w:w="1858" w:type="dxa"/>
          </w:tcPr>
          <w:p w:rsidR="00342A4E" w:rsidRPr="00687CAB" w:rsidRDefault="00342A4E" w:rsidP="003D0D94">
            <w:pPr>
              <w:jc w:val="right"/>
              <w:rPr>
                <w:b/>
              </w:rPr>
            </w:pPr>
          </w:p>
        </w:tc>
        <w:tc>
          <w:tcPr>
            <w:tcW w:w="1484" w:type="dxa"/>
          </w:tcPr>
          <w:p w:rsidR="00342A4E" w:rsidRPr="00687CAB" w:rsidRDefault="00342A4E" w:rsidP="003D0D94">
            <w:pPr>
              <w:ind w:right="-6"/>
              <w:jc w:val="right"/>
              <w:rPr>
                <w:b/>
              </w:rPr>
            </w:pPr>
          </w:p>
        </w:tc>
        <w:tc>
          <w:tcPr>
            <w:tcW w:w="1547" w:type="dxa"/>
          </w:tcPr>
          <w:p w:rsidR="00342A4E" w:rsidRPr="00687CAB" w:rsidRDefault="00342A4E" w:rsidP="003D0D94">
            <w:pPr>
              <w:tabs>
                <w:tab w:val="left" w:pos="1254"/>
              </w:tabs>
              <w:jc w:val="right"/>
              <w:rPr>
                <w:b/>
              </w:rPr>
            </w:pPr>
          </w:p>
        </w:tc>
      </w:tr>
      <w:tr w:rsidR="00342A4E" w:rsidRPr="00687CAB" w:rsidTr="003B0605">
        <w:trPr>
          <w:trHeight w:val="292"/>
        </w:trPr>
        <w:tc>
          <w:tcPr>
            <w:tcW w:w="3355" w:type="dxa"/>
          </w:tcPr>
          <w:p w:rsidR="00342A4E" w:rsidRPr="00687CAB" w:rsidRDefault="00342A4E" w:rsidP="003D0D94">
            <w:pPr>
              <w:ind w:right="386"/>
              <w:rPr>
                <w:b/>
              </w:rPr>
            </w:pPr>
            <w:r w:rsidRPr="00687CAB">
              <w:rPr>
                <w:b/>
              </w:rPr>
              <w:t>Surplus/ (Deficit)</w:t>
            </w:r>
          </w:p>
        </w:tc>
        <w:tc>
          <w:tcPr>
            <w:tcW w:w="1491" w:type="dxa"/>
          </w:tcPr>
          <w:p w:rsidR="00342A4E" w:rsidRPr="00687CAB" w:rsidRDefault="00342A4E" w:rsidP="003D0D94">
            <w:pPr>
              <w:tabs>
                <w:tab w:val="left" w:pos="1404"/>
              </w:tabs>
              <w:jc w:val="right"/>
              <w:rPr>
                <w:b/>
              </w:rPr>
            </w:pPr>
            <w:r w:rsidRPr="00687CAB">
              <w:rPr>
                <w:b/>
              </w:rPr>
              <w:t>0</w:t>
            </w:r>
          </w:p>
        </w:tc>
        <w:tc>
          <w:tcPr>
            <w:tcW w:w="1858" w:type="dxa"/>
          </w:tcPr>
          <w:p w:rsidR="00342A4E" w:rsidRPr="00687CAB" w:rsidRDefault="00342A4E" w:rsidP="003D0D94">
            <w:pPr>
              <w:jc w:val="right"/>
              <w:rPr>
                <w:b/>
              </w:rPr>
            </w:pPr>
            <w:r w:rsidRPr="00687CAB">
              <w:rPr>
                <w:b/>
              </w:rPr>
              <w:t>0</w:t>
            </w:r>
          </w:p>
        </w:tc>
        <w:tc>
          <w:tcPr>
            <w:tcW w:w="1484" w:type="dxa"/>
          </w:tcPr>
          <w:p w:rsidR="00342A4E" w:rsidRPr="00687CAB" w:rsidRDefault="00342A4E" w:rsidP="003D0D94">
            <w:pPr>
              <w:ind w:right="-6"/>
              <w:jc w:val="right"/>
              <w:rPr>
                <w:b/>
              </w:rPr>
            </w:pPr>
            <w:r w:rsidRPr="00687CAB">
              <w:rPr>
                <w:b/>
              </w:rPr>
              <w:t>0</w:t>
            </w:r>
          </w:p>
        </w:tc>
        <w:tc>
          <w:tcPr>
            <w:tcW w:w="1547" w:type="dxa"/>
          </w:tcPr>
          <w:p w:rsidR="00342A4E" w:rsidRPr="00687CAB" w:rsidRDefault="00342A4E" w:rsidP="003D0D94">
            <w:pPr>
              <w:tabs>
                <w:tab w:val="left" w:pos="1254"/>
              </w:tabs>
              <w:jc w:val="right"/>
              <w:rPr>
                <w:b/>
              </w:rPr>
            </w:pPr>
            <w:r w:rsidRPr="00687CAB">
              <w:rPr>
                <w:b/>
              </w:rPr>
              <w:t>0</w:t>
            </w:r>
          </w:p>
        </w:tc>
      </w:tr>
    </w:tbl>
    <w:p w:rsidR="004212A9" w:rsidRPr="00687CAB" w:rsidRDefault="004212A9" w:rsidP="004212A9">
      <w:pPr>
        <w:ind w:left="720" w:right="386"/>
      </w:pPr>
      <w:r w:rsidRPr="00687CAB">
        <w:tab/>
      </w:r>
      <w:r w:rsidRPr="00687CAB">
        <w:tab/>
      </w:r>
      <w:r w:rsidRPr="00687CAB">
        <w:tab/>
      </w:r>
      <w:r w:rsidRPr="00687CAB">
        <w:tab/>
      </w:r>
      <w:r w:rsidRPr="00687CAB">
        <w:tab/>
      </w: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1472"/>
        <w:gridCol w:w="1894"/>
        <w:gridCol w:w="1617"/>
        <w:gridCol w:w="1375"/>
      </w:tblGrid>
      <w:tr w:rsidR="004212A9" w:rsidRPr="00687CAB" w:rsidTr="00A30245">
        <w:trPr>
          <w:trHeight w:val="580"/>
        </w:trPr>
        <w:tc>
          <w:tcPr>
            <w:tcW w:w="3368" w:type="dxa"/>
          </w:tcPr>
          <w:p w:rsidR="004212A9" w:rsidRPr="00687CAB" w:rsidRDefault="004212A9" w:rsidP="003D0D94">
            <w:pPr>
              <w:ind w:right="386"/>
              <w:rPr>
                <w:b/>
              </w:rPr>
            </w:pPr>
            <w:r w:rsidRPr="00687CAB">
              <w:rPr>
                <w:b/>
              </w:rPr>
              <w:t>GENERAL FUND WORKING BALANCE</w:t>
            </w:r>
          </w:p>
        </w:tc>
        <w:tc>
          <w:tcPr>
            <w:tcW w:w="1472" w:type="dxa"/>
          </w:tcPr>
          <w:p w:rsidR="004212A9" w:rsidRPr="00687CAB" w:rsidRDefault="004212A9" w:rsidP="003D0D94">
            <w:pPr>
              <w:ind w:right="386"/>
              <w:jc w:val="right"/>
            </w:pPr>
          </w:p>
        </w:tc>
        <w:tc>
          <w:tcPr>
            <w:tcW w:w="1894" w:type="dxa"/>
          </w:tcPr>
          <w:p w:rsidR="004212A9" w:rsidRPr="00687CAB" w:rsidRDefault="004212A9" w:rsidP="003D0D94">
            <w:pPr>
              <w:ind w:right="386"/>
              <w:jc w:val="right"/>
            </w:pPr>
          </w:p>
        </w:tc>
        <w:tc>
          <w:tcPr>
            <w:tcW w:w="1617" w:type="dxa"/>
          </w:tcPr>
          <w:p w:rsidR="004212A9" w:rsidRPr="00687CAB" w:rsidRDefault="004212A9" w:rsidP="003D0D94">
            <w:pPr>
              <w:tabs>
                <w:tab w:val="left" w:pos="1451"/>
                <w:tab w:val="left" w:pos="1478"/>
              </w:tabs>
              <w:jc w:val="right"/>
            </w:pPr>
          </w:p>
        </w:tc>
        <w:tc>
          <w:tcPr>
            <w:tcW w:w="1375" w:type="dxa"/>
          </w:tcPr>
          <w:p w:rsidR="004212A9" w:rsidRPr="00687CAB" w:rsidRDefault="004212A9" w:rsidP="003D0D94">
            <w:pPr>
              <w:ind w:right="386"/>
              <w:jc w:val="right"/>
            </w:pPr>
          </w:p>
        </w:tc>
      </w:tr>
      <w:tr w:rsidR="004212A9" w:rsidRPr="00687CAB" w:rsidTr="00A30245">
        <w:trPr>
          <w:trHeight w:val="119"/>
        </w:trPr>
        <w:tc>
          <w:tcPr>
            <w:tcW w:w="3368" w:type="dxa"/>
          </w:tcPr>
          <w:p w:rsidR="004212A9" w:rsidRPr="00687CAB" w:rsidRDefault="004212A9" w:rsidP="003D0D94">
            <w:pPr>
              <w:ind w:right="386"/>
            </w:pPr>
            <w:r w:rsidRPr="00687CAB">
              <w:t>Opening</w:t>
            </w:r>
          </w:p>
        </w:tc>
        <w:tc>
          <w:tcPr>
            <w:tcW w:w="1472" w:type="dxa"/>
          </w:tcPr>
          <w:p w:rsidR="004212A9" w:rsidRPr="00687CAB" w:rsidRDefault="004212A9" w:rsidP="003D0D94">
            <w:pPr>
              <w:tabs>
                <w:tab w:val="left" w:pos="1292"/>
                <w:tab w:val="left" w:pos="1404"/>
              </w:tabs>
              <w:jc w:val="right"/>
            </w:pPr>
            <w:r w:rsidRPr="00687CAB">
              <w:t>3,621</w:t>
            </w:r>
          </w:p>
        </w:tc>
        <w:tc>
          <w:tcPr>
            <w:tcW w:w="1894" w:type="dxa"/>
          </w:tcPr>
          <w:p w:rsidR="004212A9" w:rsidRPr="00687CAB" w:rsidRDefault="00EB2174" w:rsidP="00687CAB">
            <w:pPr>
              <w:jc w:val="right"/>
            </w:pPr>
            <w:r w:rsidRPr="00687CAB">
              <w:t>4,</w:t>
            </w:r>
            <w:r w:rsidR="00A21E92" w:rsidRPr="00687CAB">
              <w:t>01</w:t>
            </w:r>
            <w:r w:rsidR="00687CAB" w:rsidRPr="00687CAB">
              <w:t>3</w:t>
            </w:r>
          </w:p>
        </w:tc>
        <w:tc>
          <w:tcPr>
            <w:tcW w:w="1617" w:type="dxa"/>
          </w:tcPr>
          <w:p w:rsidR="004212A9" w:rsidRPr="00687CAB" w:rsidRDefault="00A21E92" w:rsidP="00687CAB">
            <w:pPr>
              <w:tabs>
                <w:tab w:val="left" w:pos="1451"/>
                <w:tab w:val="left" w:pos="1478"/>
              </w:tabs>
              <w:jc w:val="right"/>
            </w:pPr>
            <w:r w:rsidRPr="00687CAB">
              <w:t>4,55</w:t>
            </w:r>
            <w:r w:rsidR="00687CAB" w:rsidRPr="00687CAB">
              <w:t>4</w:t>
            </w:r>
          </w:p>
        </w:tc>
        <w:tc>
          <w:tcPr>
            <w:tcW w:w="1375" w:type="dxa"/>
          </w:tcPr>
          <w:p w:rsidR="004212A9" w:rsidRPr="00687CAB" w:rsidRDefault="00DD1432" w:rsidP="00687CAB">
            <w:pPr>
              <w:jc w:val="right"/>
            </w:pPr>
            <w:r w:rsidRPr="00687CAB">
              <w:t>4</w:t>
            </w:r>
            <w:r w:rsidR="00EB2174" w:rsidRPr="00687CAB">
              <w:t>,</w:t>
            </w:r>
            <w:r w:rsidR="00A21E92" w:rsidRPr="00687CAB">
              <w:t>2</w:t>
            </w:r>
            <w:r w:rsidR="00687CAB" w:rsidRPr="00687CAB">
              <w:t>60</w:t>
            </w:r>
          </w:p>
        </w:tc>
      </w:tr>
      <w:tr w:rsidR="004212A9" w:rsidRPr="00687CAB" w:rsidTr="00A30245">
        <w:trPr>
          <w:trHeight w:val="278"/>
        </w:trPr>
        <w:tc>
          <w:tcPr>
            <w:tcW w:w="3368" w:type="dxa"/>
          </w:tcPr>
          <w:p w:rsidR="004212A9" w:rsidRPr="00687CAB" w:rsidRDefault="004212A9" w:rsidP="003D0D94">
            <w:pPr>
              <w:ind w:right="386"/>
            </w:pPr>
            <w:r w:rsidRPr="00687CAB">
              <w:t>Transferred to/(from)</w:t>
            </w:r>
          </w:p>
        </w:tc>
        <w:tc>
          <w:tcPr>
            <w:tcW w:w="1472" w:type="dxa"/>
          </w:tcPr>
          <w:p w:rsidR="004212A9" w:rsidRPr="00687CAB" w:rsidRDefault="00A21E92" w:rsidP="00687CAB">
            <w:pPr>
              <w:tabs>
                <w:tab w:val="left" w:pos="1292"/>
                <w:tab w:val="left" w:pos="1404"/>
              </w:tabs>
              <w:jc w:val="right"/>
            </w:pPr>
            <w:r w:rsidRPr="00687CAB">
              <w:t>39</w:t>
            </w:r>
            <w:r w:rsidR="00687CAB" w:rsidRPr="00687CAB">
              <w:t>2</w:t>
            </w:r>
          </w:p>
        </w:tc>
        <w:tc>
          <w:tcPr>
            <w:tcW w:w="1894" w:type="dxa"/>
          </w:tcPr>
          <w:p w:rsidR="004212A9" w:rsidRPr="00687CAB" w:rsidRDefault="00A21E92" w:rsidP="00584F33">
            <w:pPr>
              <w:jc w:val="right"/>
            </w:pPr>
            <w:r w:rsidRPr="00687CAB">
              <w:t>541</w:t>
            </w:r>
          </w:p>
        </w:tc>
        <w:tc>
          <w:tcPr>
            <w:tcW w:w="1617" w:type="dxa"/>
          </w:tcPr>
          <w:p w:rsidR="004212A9" w:rsidRPr="00687CAB" w:rsidRDefault="00EB2174" w:rsidP="00A21E92">
            <w:pPr>
              <w:tabs>
                <w:tab w:val="left" w:pos="1451"/>
                <w:tab w:val="left" w:pos="1478"/>
              </w:tabs>
              <w:jc w:val="right"/>
            </w:pPr>
            <w:r w:rsidRPr="00687CAB">
              <w:t>(</w:t>
            </w:r>
            <w:r w:rsidR="00A21E92" w:rsidRPr="00687CAB">
              <w:t>294</w:t>
            </w:r>
            <w:r w:rsidRPr="00687CAB">
              <w:t>)</w:t>
            </w:r>
          </w:p>
        </w:tc>
        <w:tc>
          <w:tcPr>
            <w:tcW w:w="1375" w:type="dxa"/>
          </w:tcPr>
          <w:p w:rsidR="004212A9" w:rsidRPr="00687CAB" w:rsidRDefault="00EB2174" w:rsidP="00A21E92">
            <w:pPr>
              <w:jc w:val="right"/>
            </w:pPr>
            <w:r w:rsidRPr="00687CAB">
              <w:t>(8</w:t>
            </w:r>
            <w:r w:rsidR="00A21E92" w:rsidRPr="00687CAB">
              <w:t>00</w:t>
            </w:r>
            <w:r w:rsidRPr="00687CAB">
              <w:t>)</w:t>
            </w:r>
          </w:p>
        </w:tc>
      </w:tr>
      <w:tr w:rsidR="004212A9" w:rsidRPr="00084584" w:rsidTr="00A30245">
        <w:trPr>
          <w:trHeight w:val="302"/>
        </w:trPr>
        <w:tc>
          <w:tcPr>
            <w:tcW w:w="3368" w:type="dxa"/>
          </w:tcPr>
          <w:p w:rsidR="004212A9" w:rsidRPr="00687CAB" w:rsidRDefault="004212A9" w:rsidP="003D0D94">
            <w:pPr>
              <w:ind w:right="386"/>
              <w:rPr>
                <w:b/>
              </w:rPr>
            </w:pPr>
            <w:r w:rsidRPr="00687CAB">
              <w:rPr>
                <w:b/>
              </w:rPr>
              <w:t>Closing</w:t>
            </w:r>
          </w:p>
        </w:tc>
        <w:tc>
          <w:tcPr>
            <w:tcW w:w="1472" w:type="dxa"/>
          </w:tcPr>
          <w:p w:rsidR="004212A9" w:rsidRPr="00687CAB" w:rsidRDefault="001341E8" w:rsidP="00687CAB">
            <w:pPr>
              <w:jc w:val="right"/>
              <w:rPr>
                <w:b/>
              </w:rPr>
            </w:pPr>
            <w:r w:rsidRPr="00687CAB">
              <w:rPr>
                <w:b/>
              </w:rPr>
              <w:t>4,</w:t>
            </w:r>
            <w:r w:rsidR="00A21E92" w:rsidRPr="00687CAB">
              <w:rPr>
                <w:b/>
              </w:rPr>
              <w:t>01</w:t>
            </w:r>
            <w:r w:rsidR="00687CAB" w:rsidRPr="00687CAB">
              <w:rPr>
                <w:b/>
              </w:rPr>
              <w:t>3</w:t>
            </w:r>
          </w:p>
        </w:tc>
        <w:tc>
          <w:tcPr>
            <w:tcW w:w="1894" w:type="dxa"/>
          </w:tcPr>
          <w:p w:rsidR="004212A9" w:rsidRPr="00687CAB" w:rsidRDefault="00DD1432" w:rsidP="00687CAB">
            <w:pPr>
              <w:jc w:val="right"/>
              <w:rPr>
                <w:b/>
              </w:rPr>
            </w:pPr>
            <w:r w:rsidRPr="00687CAB">
              <w:rPr>
                <w:b/>
              </w:rPr>
              <w:t>4,</w:t>
            </w:r>
            <w:r w:rsidR="00A21E92" w:rsidRPr="00687CAB">
              <w:rPr>
                <w:b/>
              </w:rPr>
              <w:t>55</w:t>
            </w:r>
            <w:r w:rsidR="00687CAB" w:rsidRPr="00687CAB">
              <w:rPr>
                <w:b/>
              </w:rPr>
              <w:t>4</w:t>
            </w:r>
          </w:p>
        </w:tc>
        <w:tc>
          <w:tcPr>
            <w:tcW w:w="1617" w:type="dxa"/>
          </w:tcPr>
          <w:p w:rsidR="004212A9" w:rsidRPr="00687CAB" w:rsidRDefault="00DD1432" w:rsidP="00687CAB">
            <w:pPr>
              <w:jc w:val="right"/>
              <w:rPr>
                <w:b/>
              </w:rPr>
            </w:pPr>
            <w:r w:rsidRPr="00687CAB">
              <w:rPr>
                <w:b/>
              </w:rPr>
              <w:t>4</w:t>
            </w:r>
            <w:r w:rsidR="00EB2174" w:rsidRPr="00687CAB">
              <w:rPr>
                <w:b/>
              </w:rPr>
              <w:t>,</w:t>
            </w:r>
            <w:r w:rsidR="00A21E92" w:rsidRPr="00687CAB">
              <w:rPr>
                <w:b/>
              </w:rPr>
              <w:t>2</w:t>
            </w:r>
            <w:r w:rsidR="00687CAB" w:rsidRPr="00687CAB">
              <w:rPr>
                <w:b/>
              </w:rPr>
              <w:t>60</w:t>
            </w:r>
          </w:p>
        </w:tc>
        <w:tc>
          <w:tcPr>
            <w:tcW w:w="1375" w:type="dxa"/>
          </w:tcPr>
          <w:p w:rsidR="004212A9" w:rsidRPr="00084584" w:rsidRDefault="00DD1432" w:rsidP="00687CAB">
            <w:pPr>
              <w:jc w:val="right"/>
              <w:rPr>
                <w:b/>
              </w:rPr>
            </w:pPr>
            <w:r w:rsidRPr="00687CAB">
              <w:rPr>
                <w:b/>
              </w:rPr>
              <w:t>3,</w:t>
            </w:r>
            <w:r w:rsidR="00A21E92" w:rsidRPr="00687CAB">
              <w:rPr>
                <w:b/>
              </w:rPr>
              <w:t>4</w:t>
            </w:r>
            <w:r w:rsidR="00687CAB" w:rsidRPr="00687CAB">
              <w:rPr>
                <w:b/>
              </w:rPr>
              <w:t>60</w:t>
            </w:r>
          </w:p>
        </w:tc>
      </w:tr>
    </w:tbl>
    <w:p w:rsidR="004212A9" w:rsidRPr="00084584" w:rsidRDefault="004212A9" w:rsidP="00877761">
      <w:pPr>
        <w:spacing w:after="120"/>
        <w:ind w:left="1440" w:right="386" w:hanging="720"/>
        <w:jc w:val="both"/>
      </w:pPr>
    </w:p>
    <w:p w:rsidR="002E29C2" w:rsidRPr="00084584" w:rsidRDefault="002E29C2" w:rsidP="00877761">
      <w:pPr>
        <w:spacing w:after="120"/>
        <w:ind w:left="1440" w:right="386" w:hanging="720"/>
        <w:jc w:val="both"/>
      </w:pPr>
      <w:r w:rsidRPr="00084584">
        <w:t xml:space="preserve">** Incorporates revised funding shown In Table </w:t>
      </w:r>
      <w:r w:rsidR="00084584" w:rsidRPr="00084584">
        <w:t>4</w:t>
      </w:r>
    </w:p>
    <w:p w:rsidR="008F2B47" w:rsidRPr="005D50EC" w:rsidRDefault="008F2B47" w:rsidP="0084155B">
      <w:pPr>
        <w:ind w:right="386"/>
        <w:jc w:val="both"/>
      </w:pPr>
      <w:r w:rsidRPr="005D50EC">
        <w:rPr>
          <w:b/>
        </w:rPr>
        <w:t>Budget Consultation Results</w:t>
      </w:r>
    </w:p>
    <w:p w:rsidR="008F2B47" w:rsidRPr="005D50EC" w:rsidRDefault="00FD2457" w:rsidP="00030F4B">
      <w:pPr>
        <w:pStyle w:val="ListParagraph"/>
      </w:pPr>
      <w:r w:rsidRPr="005D50EC">
        <w:rPr>
          <w:rFonts w:eastAsia="Calibri"/>
        </w:rPr>
        <w:t>The consultation con</w:t>
      </w:r>
      <w:r w:rsidR="00B00E10" w:rsidRPr="005D50EC">
        <w:rPr>
          <w:rFonts w:eastAsia="Calibri"/>
        </w:rPr>
        <w:t>c</w:t>
      </w:r>
      <w:r w:rsidR="00750D1B" w:rsidRPr="005D50EC">
        <w:rPr>
          <w:rFonts w:eastAsia="Calibri"/>
        </w:rPr>
        <w:t xml:space="preserve">entrated on a number of key areas which are shown </w:t>
      </w:r>
      <w:r w:rsidR="002E29C2" w:rsidRPr="005D50EC">
        <w:rPr>
          <w:rFonts w:eastAsia="Calibri"/>
        </w:rPr>
        <w:t xml:space="preserve">below. </w:t>
      </w:r>
      <w:r w:rsidR="00C92503">
        <w:rPr>
          <w:rFonts w:eastAsia="Calibri"/>
        </w:rPr>
        <w:t>Forty seven</w:t>
      </w:r>
      <w:r w:rsidR="00D5221F" w:rsidRPr="005D50EC">
        <w:rPr>
          <w:rFonts w:eastAsia="Calibri"/>
        </w:rPr>
        <w:t xml:space="preserve"> r</w:t>
      </w:r>
      <w:r w:rsidR="00750D1B" w:rsidRPr="005D50EC">
        <w:rPr>
          <w:rFonts w:eastAsia="Calibri"/>
        </w:rPr>
        <w:t xml:space="preserve">esponses </w:t>
      </w:r>
      <w:r w:rsidR="002E29C2" w:rsidRPr="005D50EC">
        <w:rPr>
          <w:rFonts w:eastAsia="Calibri"/>
        </w:rPr>
        <w:t>were</w:t>
      </w:r>
      <w:r w:rsidR="00750D1B" w:rsidRPr="005D50EC">
        <w:rPr>
          <w:rFonts w:eastAsia="Calibri"/>
        </w:rPr>
        <w:t xml:space="preserve"> received</w:t>
      </w:r>
      <w:r w:rsidR="00E83BB6" w:rsidRPr="005D50EC">
        <w:rPr>
          <w:rFonts w:eastAsia="Calibri"/>
        </w:rPr>
        <w:t>.</w:t>
      </w:r>
      <w:r w:rsidR="00D262FA" w:rsidRPr="005D50EC">
        <w:t xml:space="preserve"> </w:t>
      </w:r>
      <w:r w:rsidR="00E83BB6" w:rsidRPr="005D50EC">
        <w:t>T</w:t>
      </w:r>
      <w:r w:rsidR="008F2B47" w:rsidRPr="005D50EC">
        <w:t xml:space="preserve">he results </w:t>
      </w:r>
      <w:r w:rsidR="008419BE" w:rsidRPr="005D50EC">
        <w:t>are shown in Appendix 1</w:t>
      </w:r>
      <w:r w:rsidR="006A7BE6" w:rsidRPr="005D50EC">
        <w:t>0</w:t>
      </w:r>
      <w:r w:rsidR="008419BE" w:rsidRPr="005D50EC">
        <w:t xml:space="preserve"> with a summary shown below fo</w:t>
      </w:r>
      <w:r w:rsidR="008F2B47" w:rsidRPr="005D50EC">
        <w:t>r</w:t>
      </w:r>
      <w:r w:rsidR="008419BE" w:rsidRPr="005D50EC">
        <w:t xml:space="preserve"> each of the main areas</w:t>
      </w:r>
      <w:r w:rsidR="00C15FEC" w:rsidRPr="005D50EC">
        <w:t>:</w:t>
      </w:r>
    </w:p>
    <w:p w:rsidR="00C504E7" w:rsidRPr="005D50EC" w:rsidRDefault="00C504E7" w:rsidP="00F966A4">
      <w:pPr>
        <w:ind w:left="709" w:hanging="709"/>
      </w:pPr>
    </w:p>
    <w:p w:rsidR="00C504E7" w:rsidRPr="00661075" w:rsidRDefault="00C504E7" w:rsidP="004D4B44">
      <w:pPr>
        <w:numPr>
          <w:ilvl w:val="0"/>
          <w:numId w:val="8"/>
        </w:numPr>
        <w:rPr>
          <w:b/>
        </w:rPr>
      </w:pPr>
      <w:r w:rsidRPr="00661075">
        <w:rPr>
          <w:b/>
        </w:rPr>
        <w:t>Approach to Budget Setting</w:t>
      </w:r>
    </w:p>
    <w:p w:rsidR="00C504E7" w:rsidRPr="00661075" w:rsidRDefault="00B33E5F" w:rsidP="00C504E7">
      <w:pPr>
        <w:autoSpaceDE w:val="0"/>
        <w:autoSpaceDN w:val="0"/>
        <w:adjustRightInd w:val="0"/>
        <w:ind w:left="1287" w:hanging="11"/>
        <w:rPr>
          <w:rFonts w:cs="Arial"/>
          <w:color w:val="37474F"/>
          <w:lang w:eastAsia="en-GB"/>
        </w:rPr>
      </w:pPr>
      <w:r>
        <w:t>8</w:t>
      </w:r>
      <w:r w:rsidR="00C92503">
        <w:t>5</w:t>
      </w:r>
      <w:r>
        <w:t>% of</w:t>
      </w:r>
      <w:r w:rsidR="00C504E7" w:rsidRPr="00661075">
        <w:t xml:space="preserve"> respondents strongly agreed or agreed with the Council’s approach to budget setting, which </w:t>
      </w:r>
      <w:r w:rsidR="00C504E7" w:rsidRPr="00661075">
        <w:rPr>
          <w:rFonts w:cs="Arial"/>
          <w:color w:val="37474F"/>
          <w:lang w:eastAsia="en-GB"/>
        </w:rPr>
        <w:t>focuses Council spending on maintaining high quality frontline services, avoiding compulsory redundancies</w:t>
      </w:r>
      <w:r w:rsidR="00687CAB">
        <w:rPr>
          <w:rFonts w:cs="Arial"/>
          <w:color w:val="37474F"/>
          <w:lang w:eastAsia="en-GB"/>
        </w:rPr>
        <w:t xml:space="preserve"> and </w:t>
      </w:r>
      <w:r w:rsidR="00C504E7" w:rsidRPr="00661075">
        <w:rPr>
          <w:rFonts w:cs="Arial"/>
          <w:color w:val="37474F"/>
          <w:lang w:eastAsia="en-GB"/>
        </w:rPr>
        <w:t>increasing efficiency</w:t>
      </w:r>
      <w:r w:rsidR="00687CAB">
        <w:rPr>
          <w:rFonts w:cs="Arial"/>
          <w:color w:val="37474F"/>
          <w:lang w:eastAsia="en-GB"/>
        </w:rPr>
        <w:t>.</w:t>
      </w:r>
    </w:p>
    <w:p w:rsidR="00C504E7" w:rsidRPr="00661075" w:rsidRDefault="00C504E7" w:rsidP="004D4B44">
      <w:pPr>
        <w:numPr>
          <w:ilvl w:val="0"/>
          <w:numId w:val="8"/>
        </w:numPr>
        <w:autoSpaceDE w:val="0"/>
        <w:autoSpaceDN w:val="0"/>
        <w:adjustRightInd w:val="0"/>
        <w:rPr>
          <w:b/>
        </w:rPr>
      </w:pPr>
      <w:r w:rsidRPr="00661075">
        <w:rPr>
          <w:b/>
        </w:rPr>
        <w:t>Capital Investment</w:t>
      </w:r>
    </w:p>
    <w:p w:rsidR="00C504E7" w:rsidRPr="00661075" w:rsidRDefault="00C504E7" w:rsidP="00C504E7">
      <w:pPr>
        <w:autoSpaceDE w:val="0"/>
        <w:autoSpaceDN w:val="0"/>
        <w:adjustRightInd w:val="0"/>
        <w:ind w:left="1287"/>
      </w:pPr>
      <w:r w:rsidRPr="00661075">
        <w:t>Most respondents agreed with the major capital investments undertaken by the Council.  The scheme</w:t>
      </w:r>
      <w:r w:rsidR="00A44EB1">
        <w:t>s</w:t>
      </w:r>
      <w:r w:rsidRPr="00661075">
        <w:t xml:space="preserve"> with the most support w</w:t>
      </w:r>
      <w:r w:rsidR="00A44EB1">
        <w:t>ere</w:t>
      </w:r>
      <w:r w:rsidRPr="00661075">
        <w:t xml:space="preserve"> </w:t>
      </w:r>
      <w:r w:rsidR="00C92503">
        <w:t xml:space="preserve">investing in council housing followed by the new waste recycling </w:t>
      </w:r>
      <w:r w:rsidR="00B33E5F">
        <w:t xml:space="preserve">facility </w:t>
      </w:r>
      <w:r w:rsidR="00C92503">
        <w:t>and</w:t>
      </w:r>
      <w:r w:rsidR="00B33E5F">
        <w:t xml:space="preserve"> </w:t>
      </w:r>
      <w:r w:rsidR="001953E3">
        <w:t xml:space="preserve">the </w:t>
      </w:r>
      <w:r w:rsidR="00661075" w:rsidRPr="00661075">
        <w:t>purchase of homes for housing homeless families</w:t>
      </w:r>
      <w:r w:rsidR="00C92503">
        <w:t>.</w:t>
      </w:r>
      <w:r w:rsidR="00B33E5F">
        <w:t xml:space="preserve"> </w:t>
      </w:r>
      <w:r w:rsidRPr="00661075">
        <w:t xml:space="preserve">    </w:t>
      </w:r>
    </w:p>
    <w:p w:rsidR="00C504E7" w:rsidRPr="00661075" w:rsidRDefault="00C504E7" w:rsidP="004D4B44">
      <w:pPr>
        <w:numPr>
          <w:ilvl w:val="0"/>
          <w:numId w:val="8"/>
        </w:numPr>
        <w:autoSpaceDE w:val="0"/>
        <w:autoSpaceDN w:val="0"/>
        <w:adjustRightInd w:val="0"/>
        <w:rPr>
          <w:b/>
        </w:rPr>
      </w:pPr>
      <w:r w:rsidRPr="00661075">
        <w:rPr>
          <w:b/>
        </w:rPr>
        <w:t>Revenue Investment</w:t>
      </w:r>
    </w:p>
    <w:p w:rsidR="00C504E7" w:rsidRPr="00661075" w:rsidRDefault="00C504E7" w:rsidP="00C504E7">
      <w:pPr>
        <w:autoSpaceDE w:val="0"/>
        <w:autoSpaceDN w:val="0"/>
        <w:adjustRightInd w:val="0"/>
        <w:ind w:left="1287"/>
      </w:pPr>
      <w:r w:rsidRPr="00661075">
        <w:t xml:space="preserve">There was </w:t>
      </w:r>
      <w:r w:rsidR="00661075" w:rsidRPr="00661075">
        <w:t xml:space="preserve">strong support to </w:t>
      </w:r>
      <w:r w:rsidRPr="00661075">
        <w:t>‘c</w:t>
      </w:r>
      <w:r w:rsidRPr="00661075">
        <w:rPr>
          <w:rFonts w:cs="Arial"/>
          <w:color w:val="37474F"/>
        </w:rPr>
        <w:t xml:space="preserve">ontinue to pay staff at least the Oxford Living Wage’ </w:t>
      </w:r>
      <w:r w:rsidR="00661075" w:rsidRPr="00661075">
        <w:rPr>
          <w:rFonts w:cs="Arial"/>
          <w:color w:val="37474F"/>
        </w:rPr>
        <w:t>maintaining support to homeless families</w:t>
      </w:r>
      <w:r w:rsidR="00B33E5F">
        <w:rPr>
          <w:rFonts w:cs="Arial"/>
          <w:color w:val="37474F"/>
        </w:rPr>
        <w:t xml:space="preserve"> and apprentices</w:t>
      </w:r>
      <w:r w:rsidR="00661075" w:rsidRPr="00661075">
        <w:rPr>
          <w:rFonts w:cs="Arial"/>
          <w:color w:val="37474F"/>
        </w:rPr>
        <w:t>. There was neutrality</w:t>
      </w:r>
      <w:r w:rsidRPr="00661075">
        <w:rPr>
          <w:rFonts w:cs="Arial"/>
          <w:color w:val="37474F"/>
        </w:rPr>
        <w:t xml:space="preserve"> </w:t>
      </w:r>
      <w:r w:rsidR="00661075" w:rsidRPr="00661075">
        <w:rPr>
          <w:rFonts w:cs="Arial"/>
          <w:color w:val="37474F"/>
        </w:rPr>
        <w:t>around increasing resources in planning services</w:t>
      </w:r>
      <w:r w:rsidR="00B33E5F">
        <w:rPr>
          <w:rFonts w:cs="Arial"/>
          <w:color w:val="37474F"/>
        </w:rPr>
        <w:t>.</w:t>
      </w:r>
      <w:r w:rsidR="00661075" w:rsidRPr="00661075">
        <w:rPr>
          <w:rFonts w:cs="Arial"/>
          <w:color w:val="37474F"/>
        </w:rPr>
        <w:t xml:space="preserve"> </w:t>
      </w:r>
    </w:p>
    <w:p w:rsidR="00C504E7" w:rsidRPr="00661075" w:rsidRDefault="00C504E7" w:rsidP="004D4B44">
      <w:pPr>
        <w:numPr>
          <w:ilvl w:val="0"/>
          <w:numId w:val="8"/>
        </w:numPr>
        <w:autoSpaceDE w:val="0"/>
        <w:autoSpaceDN w:val="0"/>
        <w:adjustRightInd w:val="0"/>
        <w:rPr>
          <w:b/>
        </w:rPr>
      </w:pPr>
      <w:r w:rsidRPr="00661075">
        <w:rPr>
          <w:b/>
        </w:rPr>
        <w:t>Fees and Charges</w:t>
      </w:r>
    </w:p>
    <w:p w:rsidR="00C504E7" w:rsidRPr="00661075" w:rsidRDefault="00C504E7" w:rsidP="00C504E7">
      <w:pPr>
        <w:autoSpaceDE w:val="0"/>
        <w:autoSpaceDN w:val="0"/>
        <w:adjustRightInd w:val="0"/>
        <w:ind w:left="1287"/>
      </w:pPr>
      <w:r w:rsidRPr="00661075">
        <w:lastRenderedPageBreak/>
        <w:t xml:space="preserve">Respondents were in agreement to </w:t>
      </w:r>
      <w:r w:rsidR="00661075" w:rsidRPr="00661075">
        <w:t>all</w:t>
      </w:r>
      <w:r w:rsidRPr="00661075">
        <w:t xml:space="preserve"> increases in fees and charges with most popular </w:t>
      </w:r>
      <w:r w:rsidR="00661075" w:rsidRPr="00661075">
        <w:t>being increases in garage rents and garden waste collection</w:t>
      </w:r>
      <w:r w:rsidRPr="00661075">
        <w:t>.</w:t>
      </w:r>
      <w:r w:rsidRPr="00661075" w:rsidDel="00832217">
        <w:t xml:space="preserve"> </w:t>
      </w:r>
    </w:p>
    <w:p w:rsidR="00C504E7" w:rsidRPr="00661075" w:rsidRDefault="00C504E7" w:rsidP="004D4B44">
      <w:pPr>
        <w:numPr>
          <w:ilvl w:val="0"/>
          <w:numId w:val="8"/>
        </w:numPr>
        <w:autoSpaceDE w:val="0"/>
        <w:autoSpaceDN w:val="0"/>
        <w:adjustRightInd w:val="0"/>
        <w:rPr>
          <w:b/>
        </w:rPr>
      </w:pPr>
      <w:r w:rsidRPr="00661075">
        <w:rPr>
          <w:b/>
        </w:rPr>
        <w:t>Council Tax</w:t>
      </w:r>
    </w:p>
    <w:p w:rsidR="00C504E7" w:rsidRPr="00661075" w:rsidRDefault="00661075" w:rsidP="00C504E7">
      <w:pPr>
        <w:autoSpaceDE w:val="0"/>
        <w:autoSpaceDN w:val="0"/>
        <w:adjustRightInd w:val="0"/>
        <w:ind w:left="1287"/>
      </w:pPr>
      <w:r w:rsidRPr="00661075">
        <w:t xml:space="preserve">There was a 50/50 response </w:t>
      </w:r>
      <w:r w:rsidR="001953E3">
        <w:t>between</w:t>
      </w:r>
      <w:r w:rsidRPr="00661075">
        <w:t xml:space="preserve"> increasing and freezing council tax</w:t>
      </w:r>
      <w:r w:rsidR="00C504E7" w:rsidRPr="00661075">
        <w:t xml:space="preserve"> </w:t>
      </w:r>
    </w:p>
    <w:p w:rsidR="00C504E7" w:rsidRPr="00661075" w:rsidRDefault="00C504E7" w:rsidP="004D4B44">
      <w:pPr>
        <w:numPr>
          <w:ilvl w:val="0"/>
          <w:numId w:val="8"/>
        </w:numPr>
        <w:autoSpaceDE w:val="0"/>
        <w:autoSpaceDN w:val="0"/>
        <w:adjustRightInd w:val="0"/>
        <w:rPr>
          <w:b/>
        </w:rPr>
      </w:pPr>
      <w:r w:rsidRPr="00661075">
        <w:rPr>
          <w:b/>
        </w:rPr>
        <w:t>Council Tax Support Scheme</w:t>
      </w:r>
    </w:p>
    <w:p w:rsidR="00C504E7" w:rsidRPr="00661075" w:rsidRDefault="00C92503" w:rsidP="00C504E7">
      <w:pPr>
        <w:autoSpaceDE w:val="0"/>
        <w:autoSpaceDN w:val="0"/>
        <w:adjustRightInd w:val="0"/>
        <w:ind w:left="1287"/>
      </w:pPr>
      <w:r>
        <w:t>70</w:t>
      </w:r>
      <w:r w:rsidR="00C504E7" w:rsidRPr="00661075">
        <w:t>% of respondents agreed that the Council should maintain the same Council Tax Support Scheme introduced in April 2013.</w:t>
      </w:r>
    </w:p>
    <w:p w:rsidR="00C504E7" w:rsidRPr="00661075" w:rsidRDefault="00C504E7" w:rsidP="004D4B44">
      <w:pPr>
        <w:numPr>
          <w:ilvl w:val="0"/>
          <w:numId w:val="8"/>
        </w:numPr>
        <w:autoSpaceDE w:val="0"/>
        <w:autoSpaceDN w:val="0"/>
        <w:adjustRightInd w:val="0"/>
        <w:rPr>
          <w:b/>
        </w:rPr>
      </w:pPr>
      <w:r w:rsidRPr="00661075">
        <w:rPr>
          <w:b/>
        </w:rPr>
        <w:t>Housing Revenue Account</w:t>
      </w:r>
    </w:p>
    <w:p w:rsidR="00C504E7" w:rsidRPr="00661075" w:rsidRDefault="00C504E7" w:rsidP="00C504E7">
      <w:pPr>
        <w:autoSpaceDE w:val="0"/>
        <w:autoSpaceDN w:val="0"/>
        <w:adjustRightInd w:val="0"/>
        <w:ind w:left="1287"/>
      </w:pPr>
      <w:r w:rsidRPr="00661075">
        <w:t xml:space="preserve">In terms of prioritising the HRA Capital Programme the respondents agreed that </w:t>
      </w:r>
      <w:r w:rsidR="00661075" w:rsidRPr="00661075">
        <w:t xml:space="preserve">building and acquiring new homes was the top priority followed by maintaining the quality of </w:t>
      </w:r>
      <w:r w:rsidRPr="00661075">
        <w:t xml:space="preserve">existing homes, although </w:t>
      </w:r>
      <w:r w:rsidR="00C92503">
        <w:t>98% of</w:t>
      </w:r>
      <w:r w:rsidRPr="00661075">
        <w:t xml:space="preserve"> respondents were not council tenants</w:t>
      </w:r>
    </w:p>
    <w:p w:rsidR="00C504E7" w:rsidRPr="00B33E5F" w:rsidRDefault="00C504E7" w:rsidP="00C504E7">
      <w:pPr>
        <w:ind w:left="567"/>
      </w:pPr>
    </w:p>
    <w:p w:rsidR="004D0D72" w:rsidRPr="00B33E5F" w:rsidRDefault="00B33E5F" w:rsidP="00C504E7">
      <w:pPr>
        <w:ind w:left="567"/>
      </w:pPr>
      <w:r w:rsidRPr="00B33E5F">
        <w:rPr>
          <w:color w:val="000000"/>
        </w:rPr>
        <w:t xml:space="preserve">The feedback has </w:t>
      </w:r>
      <w:r w:rsidR="004D0D72" w:rsidRPr="00B33E5F">
        <w:rPr>
          <w:color w:val="000000"/>
        </w:rPr>
        <w:t>been considered as part of the budget process and will also be shared with senior managers as appropriate.</w:t>
      </w:r>
    </w:p>
    <w:p w:rsidR="00030F4B" w:rsidRDefault="00030F4B" w:rsidP="00BA202E">
      <w:pPr>
        <w:ind w:right="386" w:firstLine="540"/>
        <w:rPr>
          <w:b/>
        </w:rPr>
      </w:pPr>
    </w:p>
    <w:p w:rsidR="00BA202E" w:rsidRPr="00B864B7" w:rsidRDefault="00BA202E" w:rsidP="00030F4B">
      <w:pPr>
        <w:pStyle w:val="Heading1"/>
      </w:pPr>
      <w:r w:rsidRPr="00B864B7">
        <w:t>Risk Implications</w:t>
      </w:r>
    </w:p>
    <w:p w:rsidR="00F966A4" w:rsidRPr="000E47F3" w:rsidRDefault="00F966A4" w:rsidP="00030F4B">
      <w:pPr>
        <w:pStyle w:val="ListParagraph"/>
        <w:rPr>
          <w:sz w:val="22"/>
          <w:szCs w:val="22"/>
        </w:rPr>
      </w:pPr>
      <w:r w:rsidRPr="000E47F3">
        <w:t>The main risks to the balanced position of the General Fund Consultation Budget (Appendix 8) are that:</w:t>
      </w:r>
    </w:p>
    <w:p w:rsidR="00F966A4" w:rsidRPr="000E47F3" w:rsidRDefault="00F966A4" w:rsidP="00F966A4">
      <w:pPr>
        <w:numPr>
          <w:ilvl w:val="0"/>
          <w:numId w:val="1"/>
        </w:numPr>
        <w:tabs>
          <w:tab w:val="clear" w:pos="1080"/>
          <w:tab w:val="num" w:pos="851"/>
        </w:tabs>
        <w:spacing w:before="100" w:beforeAutospacing="1"/>
        <w:ind w:left="851" w:right="386" w:hanging="284"/>
      </w:pPr>
      <w:r w:rsidRPr="000E47F3">
        <w:t xml:space="preserve">Significant variations in actual income and expenditure against budget </w:t>
      </w:r>
      <w:r w:rsidR="00D444F1">
        <w:t>occur</w:t>
      </w:r>
    </w:p>
    <w:p w:rsidR="00F966A4" w:rsidRPr="000E47F3" w:rsidRDefault="00F966A4" w:rsidP="00F966A4">
      <w:pPr>
        <w:numPr>
          <w:ilvl w:val="0"/>
          <w:numId w:val="1"/>
        </w:numPr>
        <w:tabs>
          <w:tab w:val="clear" w:pos="1080"/>
          <w:tab w:val="num" w:pos="851"/>
        </w:tabs>
        <w:spacing w:before="100" w:beforeAutospacing="1"/>
        <w:ind w:left="851" w:right="386" w:hanging="284"/>
      </w:pPr>
      <w:r w:rsidRPr="000E47F3">
        <w:t>Business Rates income is lower than forecast</w:t>
      </w:r>
    </w:p>
    <w:p w:rsidR="00F966A4" w:rsidRPr="000E47F3" w:rsidRDefault="00F966A4" w:rsidP="00F966A4">
      <w:pPr>
        <w:numPr>
          <w:ilvl w:val="0"/>
          <w:numId w:val="1"/>
        </w:numPr>
        <w:tabs>
          <w:tab w:val="clear" w:pos="1080"/>
          <w:tab w:val="num" w:pos="851"/>
        </w:tabs>
        <w:spacing w:before="100" w:beforeAutospacing="1"/>
        <w:ind w:left="851" w:right="386" w:hanging="284"/>
      </w:pPr>
      <w:r w:rsidRPr="000E47F3">
        <w:t xml:space="preserve">New Homes Bonus is lower in </w:t>
      </w:r>
      <w:r w:rsidR="00667258" w:rsidRPr="000E47F3">
        <w:t>future</w:t>
      </w:r>
      <w:r w:rsidRPr="000E47F3">
        <w:t xml:space="preserve"> years </w:t>
      </w:r>
    </w:p>
    <w:p w:rsidR="00F966A4" w:rsidRPr="000E47F3" w:rsidRDefault="00F966A4" w:rsidP="00F966A4">
      <w:pPr>
        <w:numPr>
          <w:ilvl w:val="0"/>
          <w:numId w:val="1"/>
        </w:numPr>
        <w:tabs>
          <w:tab w:val="clear" w:pos="1080"/>
          <w:tab w:val="num" w:pos="851"/>
        </w:tabs>
        <w:spacing w:before="100" w:beforeAutospacing="1"/>
        <w:ind w:left="851" w:right="386" w:hanging="284"/>
      </w:pPr>
      <w:r w:rsidRPr="000E47F3">
        <w:t>Welfare Reform impacts the authority more adversely than assumed</w:t>
      </w:r>
    </w:p>
    <w:p w:rsidR="00F966A4" w:rsidRPr="000E47F3" w:rsidRDefault="00F966A4" w:rsidP="00FA0BC7">
      <w:pPr>
        <w:numPr>
          <w:ilvl w:val="0"/>
          <w:numId w:val="1"/>
        </w:numPr>
        <w:tabs>
          <w:tab w:val="num" w:pos="851"/>
        </w:tabs>
        <w:spacing w:before="100" w:beforeAutospacing="1"/>
        <w:ind w:left="851" w:right="386" w:hanging="284"/>
      </w:pPr>
      <w:r w:rsidRPr="000E47F3">
        <w:t xml:space="preserve">Interest rates </w:t>
      </w:r>
      <w:r w:rsidR="00FA0BC7">
        <w:t xml:space="preserve">are </w:t>
      </w:r>
      <w:r w:rsidRPr="000E47F3">
        <w:t>lower than projected</w:t>
      </w:r>
    </w:p>
    <w:p w:rsidR="00F966A4" w:rsidRDefault="00F966A4" w:rsidP="00FA0BC7">
      <w:pPr>
        <w:numPr>
          <w:ilvl w:val="0"/>
          <w:numId w:val="1"/>
        </w:numPr>
        <w:tabs>
          <w:tab w:val="clear" w:pos="1080"/>
          <w:tab w:val="num" w:pos="851"/>
        </w:tabs>
        <w:spacing w:before="100" w:beforeAutospacing="1"/>
        <w:ind w:left="851" w:right="386" w:hanging="284"/>
      </w:pPr>
      <w:r w:rsidRPr="000E47F3">
        <w:t>Slippage</w:t>
      </w:r>
      <w:r w:rsidR="00FA0BC7">
        <w:t>,</w:t>
      </w:r>
      <w:r w:rsidRPr="000E47F3">
        <w:t xml:space="preserve"> non-delivery of savings or additional pressures arise that have an on-going financial impact on the Council</w:t>
      </w:r>
    </w:p>
    <w:p w:rsidR="00C504E7" w:rsidRDefault="00C504E7" w:rsidP="00FA0BC7">
      <w:pPr>
        <w:numPr>
          <w:ilvl w:val="0"/>
          <w:numId w:val="1"/>
        </w:numPr>
        <w:tabs>
          <w:tab w:val="clear" w:pos="1080"/>
          <w:tab w:val="num" w:pos="851"/>
        </w:tabs>
        <w:spacing w:before="100" w:beforeAutospacing="1"/>
        <w:ind w:left="851" w:right="386" w:hanging="284"/>
      </w:pPr>
      <w:r>
        <w:t xml:space="preserve">The </w:t>
      </w:r>
      <w:r w:rsidR="0044090A">
        <w:t>knock on implications of funding</w:t>
      </w:r>
      <w:r>
        <w:t xml:space="preserve"> cuts b</w:t>
      </w:r>
      <w:r w:rsidR="007434AF">
        <w:t>ein</w:t>
      </w:r>
      <w:r w:rsidR="003B0605">
        <w:t>g</w:t>
      </w:r>
      <w:r w:rsidR="007434AF">
        <w:t xml:space="preserve"> experienced b</w:t>
      </w:r>
      <w:r>
        <w:t xml:space="preserve">y partner organisations </w:t>
      </w:r>
    </w:p>
    <w:p w:rsidR="00F966A4" w:rsidRDefault="00F966A4" w:rsidP="00F966A4">
      <w:pPr>
        <w:autoSpaceDE w:val="0"/>
        <w:autoSpaceDN w:val="0"/>
        <w:adjustRightInd w:val="0"/>
        <w:ind w:right="380"/>
        <w:jc w:val="both"/>
        <w:rPr>
          <w:rFonts w:cs="Arial"/>
          <w:b/>
          <w:sz w:val="28"/>
          <w:szCs w:val="28"/>
        </w:rPr>
      </w:pPr>
    </w:p>
    <w:p w:rsidR="00902E5A" w:rsidRPr="000E47F3" w:rsidRDefault="000731FA" w:rsidP="00902E5A">
      <w:pPr>
        <w:autoSpaceDE w:val="0"/>
        <w:autoSpaceDN w:val="0"/>
        <w:adjustRightInd w:val="0"/>
        <w:ind w:right="380"/>
        <w:jc w:val="both"/>
        <w:rPr>
          <w:rFonts w:cs="Arial"/>
          <w:b/>
          <w:sz w:val="28"/>
          <w:szCs w:val="28"/>
        </w:rPr>
      </w:pPr>
      <w:r w:rsidRPr="000E47F3">
        <w:rPr>
          <w:rFonts w:cs="Arial"/>
          <w:b/>
          <w:sz w:val="28"/>
          <w:szCs w:val="28"/>
        </w:rPr>
        <w:t>Section B</w:t>
      </w:r>
      <w:r w:rsidR="00902E5A" w:rsidRPr="000E47F3">
        <w:rPr>
          <w:rFonts w:cs="Arial"/>
          <w:b/>
          <w:sz w:val="28"/>
          <w:szCs w:val="28"/>
        </w:rPr>
        <w:t xml:space="preserve"> Housing Revenue Account Budget </w:t>
      </w:r>
    </w:p>
    <w:p w:rsidR="00B84156" w:rsidRPr="000E47F3" w:rsidRDefault="00B84156" w:rsidP="00902E5A">
      <w:pPr>
        <w:autoSpaceDE w:val="0"/>
        <w:autoSpaceDN w:val="0"/>
        <w:adjustRightInd w:val="0"/>
        <w:ind w:right="380"/>
        <w:jc w:val="both"/>
        <w:rPr>
          <w:rFonts w:cs="Arial"/>
          <w:b/>
          <w:sz w:val="28"/>
          <w:szCs w:val="28"/>
        </w:rPr>
      </w:pPr>
    </w:p>
    <w:p w:rsidR="00B84156" w:rsidRPr="000E47F3" w:rsidRDefault="00B84156" w:rsidP="00030F4B">
      <w:pPr>
        <w:pStyle w:val="Heading1"/>
      </w:pPr>
      <w:r w:rsidRPr="000E47F3">
        <w:t>Issues arising since the publication of the consultation budget</w:t>
      </w:r>
    </w:p>
    <w:p w:rsidR="00F4559D" w:rsidRDefault="0018195F" w:rsidP="00030F4B">
      <w:pPr>
        <w:pStyle w:val="ListParagraph"/>
      </w:pPr>
      <w:r>
        <w:t>The Council</w:t>
      </w:r>
      <w:r w:rsidR="00A921FD" w:rsidRPr="000E47F3">
        <w:t xml:space="preserve"> publi</w:t>
      </w:r>
      <w:r>
        <w:t xml:space="preserve">shed its </w:t>
      </w:r>
      <w:r w:rsidR="00A921FD" w:rsidRPr="000E47F3">
        <w:t>Consultation Budget on 1</w:t>
      </w:r>
      <w:r w:rsidR="001570E1">
        <w:t>8</w:t>
      </w:r>
      <w:r w:rsidR="00A921FD" w:rsidRPr="000E47F3">
        <w:rPr>
          <w:vertAlign w:val="superscript"/>
        </w:rPr>
        <w:t>th</w:t>
      </w:r>
      <w:r w:rsidR="00A921FD" w:rsidRPr="000E47F3">
        <w:t xml:space="preserve"> December 201</w:t>
      </w:r>
      <w:r w:rsidR="003B0605">
        <w:t>6</w:t>
      </w:r>
      <w:r w:rsidR="00C71FB2" w:rsidRPr="000E47F3">
        <w:t xml:space="preserve"> </w:t>
      </w:r>
      <w:r>
        <w:t>including</w:t>
      </w:r>
      <w:r w:rsidR="00C71FB2" w:rsidRPr="000E47F3">
        <w:t xml:space="preserve"> the Housing Revenue Account Budget</w:t>
      </w:r>
      <w:r w:rsidR="00A921FD" w:rsidRPr="000E47F3">
        <w:t>. The budget for the Housing Revenue</w:t>
      </w:r>
      <w:r w:rsidR="00F4559D" w:rsidRPr="000E47F3">
        <w:t xml:space="preserve"> Account is as detailed in Appendices </w:t>
      </w:r>
      <w:r w:rsidR="00C71FB2" w:rsidRPr="000E47F3">
        <w:t>4</w:t>
      </w:r>
      <w:r w:rsidR="00F4559D" w:rsidRPr="000E47F3">
        <w:t xml:space="preserve">. </w:t>
      </w:r>
      <w:r>
        <w:t>Appendix 5 shows the effect of the 1% reduction on council house rents in the city.</w:t>
      </w:r>
    </w:p>
    <w:p w:rsidR="00030F4B" w:rsidRPr="000E47F3" w:rsidRDefault="00030F4B" w:rsidP="00030F4B">
      <w:pPr>
        <w:pStyle w:val="ListParagraph"/>
        <w:numPr>
          <w:ilvl w:val="0"/>
          <w:numId w:val="0"/>
        </w:numPr>
        <w:ind w:left="360"/>
      </w:pPr>
    </w:p>
    <w:p w:rsidR="00657B05" w:rsidRDefault="00657B05" w:rsidP="00030F4B">
      <w:pPr>
        <w:pStyle w:val="ListParagraph"/>
        <w:rPr>
          <w:lang w:val="en" w:eastAsia="en-GB"/>
        </w:rPr>
      </w:pPr>
      <w:r>
        <w:rPr>
          <w:rFonts w:eastAsia="Calibri"/>
        </w:rPr>
        <w:t xml:space="preserve">In December the Government announced the abandonment of </w:t>
      </w:r>
      <w:r w:rsidRPr="009E7177">
        <w:rPr>
          <w:lang w:val="en" w:eastAsia="en-GB"/>
        </w:rPr>
        <w:t xml:space="preserve">the </w:t>
      </w:r>
      <w:r>
        <w:rPr>
          <w:lang w:val="en" w:eastAsia="en-GB"/>
        </w:rPr>
        <w:t xml:space="preserve">compulsory </w:t>
      </w:r>
      <w:r w:rsidRPr="009E7177">
        <w:rPr>
          <w:lang w:val="en" w:eastAsia="en-GB"/>
        </w:rPr>
        <w:t xml:space="preserve">‘Pay to Stay’ policy </w:t>
      </w:r>
      <w:r>
        <w:rPr>
          <w:lang w:val="en" w:eastAsia="en-GB"/>
        </w:rPr>
        <w:t xml:space="preserve">for Councils in England </w:t>
      </w:r>
      <w:r w:rsidRPr="009E7177">
        <w:rPr>
          <w:lang w:val="en" w:eastAsia="en-GB"/>
        </w:rPr>
        <w:t>which was due for implementation from 1/4/2017</w:t>
      </w:r>
      <w:r>
        <w:rPr>
          <w:lang w:val="en" w:eastAsia="en-GB"/>
        </w:rPr>
        <w:t xml:space="preserve">. Housing Associations and local authorities would still have local discretion to implement. </w:t>
      </w:r>
    </w:p>
    <w:p w:rsidR="00657B05" w:rsidRPr="00030F4B" w:rsidRDefault="00657B05" w:rsidP="00030F4B">
      <w:pPr>
        <w:rPr>
          <w:lang w:val="en" w:eastAsia="en-GB"/>
        </w:rPr>
      </w:pPr>
    </w:p>
    <w:p w:rsidR="00657B05" w:rsidRDefault="00657B05" w:rsidP="00030F4B">
      <w:pPr>
        <w:pStyle w:val="ListParagraph"/>
        <w:rPr>
          <w:lang w:val="en" w:eastAsia="en-GB"/>
        </w:rPr>
      </w:pPr>
      <w:r>
        <w:rPr>
          <w:lang w:val="en" w:eastAsia="en-GB"/>
        </w:rPr>
        <w:t>The Government also advised that the pilot of Right to Buy for Housing Association tenants would be extended on a regional basis, using government funding. As a result the requirement for councils to pay a “levy” to government based upon sale receipts from the disposal of “high value” council houses which become empty will not implemented in 2017-18.</w:t>
      </w:r>
    </w:p>
    <w:p w:rsidR="00657B05" w:rsidRPr="00030F4B" w:rsidRDefault="00657B05" w:rsidP="00030F4B">
      <w:pPr>
        <w:rPr>
          <w:rFonts w:eastAsia="Calibri"/>
        </w:rPr>
      </w:pPr>
    </w:p>
    <w:p w:rsidR="008514A5" w:rsidRDefault="005D50EC" w:rsidP="00030F4B">
      <w:pPr>
        <w:pStyle w:val="ListParagraph"/>
      </w:pPr>
      <w:r w:rsidRPr="00657B05">
        <w:rPr>
          <w:rFonts w:eastAsia="Calibri"/>
        </w:rPr>
        <w:lastRenderedPageBreak/>
        <w:t>D</w:t>
      </w:r>
      <w:r w:rsidR="00FF6A42" w:rsidRPr="00657B05">
        <w:rPr>
          <w:rFonts w:eastAsia="Calibri"/>
        </w:rPr>
        <w:t>ue to the deferment of the High Value Council Housing Levy, the contingency previously</w:t>
      </w:r>
      <w:r w:rsidR="00A06D01" w:rsidRPr="00657B05">
        <w:rPr>
          <w:rFonts w:eastAsia="Calibri"/>
        </w:rPr>
        <w:t xml:space="preserve"> set aside from HRA surpluses is no</w:t>
      </w:r>
      <w:r w:rsidR="00142103" w:rsidRPr="00657B05">
        <w:rPr>
          <w:rFonts w:eastAsia="Calibri"/>
        </w:rPr>
        <w:t xml:space="preserve">t </w:t>
      </w:r>
      <w:r w:rsidR="00A06D01" w:rsidRPr="00657B05">
        <w:rPr>
          <w:rFonts w:eastAsia="Calibri"/>
        </w:rPr>
        <w:t xml:space="preserve">required </w:t>
      </w:r>
      <w:r w:rsidR="00142103" w:rsidRPr="00657B05">
        <w:rPr>
          <w:rFonts w:eastAsia="Calibri"/>
        </w:rPr>
        <w:t>in the short term</w:t>
      </w:r>
      <w:r w:rsidR="00E4529F" w:rsidRPr="00657B05">
        <w:rPr>
          <w:rFonts w:eastAsia="Calibri"/>
        </w:rPr>
        <w:t xml:space="preserve"> </w:t>
      </w:r>
      <w:r w:rsidR="00A06D01" w:rsidRPr="00657B05">
        <w:rPr>
          <w:rFonts w:eastAsia="Calibri"/>
        </w:rPr>
        <w:t xml:space="preserve">and was transferred to an earmarked reserve </w:t>
      </w:r>
      <w:r w:rsidR="005B1E81" w:rsidRPr="00657B05">
        <w:rPr>
          <w:rFonts w:eastAsia="Calibri"/>
        </w:rPr>
        <w:t>in</w:t>
      </w:r>
      <w:r w:rsidR="00A06D01" w:rsidRPr="00657B05">
        <w:rPr>
          <w:rFonts w:eastAsia="Calibri"/>
        </w:rPr>
        <w:t xml:space="preserve"> the Consultation Budget. </w:t>
      </w:r>
      <w:r w:rsidR="008514A5" w:rsidRPr="00657B05">
        <w:rPr>
          <w:rFonts w:eastAsia="Calibri"/>
        </w:rPr>
        <w:t>I</w:t>
      </w:r>
      <w:r w:rsidR="00A06D01" w:rsidRPr="00657B05">
        <w:rPr>
          <w:rFonts w:eastAsia="Calibri"/>
        </w:rPr>
        <w:t xml:space="preserve">t is proposed to use this reserve to fund the items detailed </w:t>
      </w:r>
      <w:r w:rsidR="00BA6E6E" w:rsidRPr="00657B05">
        <w:rPr>
          <w:rFonts w:eastAsia="Calibri"/>
        </w:rPr>
        <w:t xml:space="preserve">below </w:t>
      </w:r>
      <w:r w:rsidR="00A06D01" w:rsidRPr="00657B05">
        <w:rPr>
          <w:rFonts w:eastAsia="Calibri"/>
        </w:rPr>
        <w:t>leaving a balance of £2.775 million in the reserve</w:t>
      </w:r>
      <w:r w:rsidR="00BA6E6E" w:rsidRPr="00657B05">
        <w:rPr>
          <w:rFonts w:eastAsia="Calibri"/>
        </w:rPr>
        <w:t>:</w:t>
      </w:r>
      <w:r w:rsidR="00A06D01" w:rsidRPr="00657B05">
        <w:rPr>
          <w:rFonts w:eastAsia="Calibri"/>
        </w:rPr>
        <w:t xml:space="preserve"> </w:t>
      </w:r>
      <w:r w:rsidR="008514A5">
        <w:t xml:space="preserve">£300k per year for 2 years to enhance the planned maintenance </w:t>
      </w:r>
      <w:r w:rsidR="00A3227C">
        <w:t>of</w:t>
      </w:r>
      <w:r w:rsidR="008514A5">
        <w:t xml:space="preserve"> our own stock to deal with a backlog of communal area planned maintenance work which is outside the scope of our current more mainstream programmes of doors, windows, roofs etc. </w:t>
      </w:r>
    </w:p>
    <w:p w:rsidR="00030F4B" w:rsidRDefault="00030F4B" w:rsidP="00030F4B">
      <w:pPr>
        <w:pStyle w:val="ListParagraph"/>
        <w:numPr>
          <w:ilvl w:val="0"/>
          <w:numId w:val="0"/>
        </w:numPr>
        <w:ind w:left="360"/>
      </w:pPr>
    </w:p>
    <w:p w:rsidR="008514A5" w:rsidRDefault="008514A5" w:rsidP="00030F4B">
      <w:pPr>
        <w:pStyle w:val="ListParagraph"/>
      </w:pPr>
      <w:r>
        <w:t>HCA have announced we have been successful in our bid for £350</w:t>
      </w:r>
      <w:r w:rsidR="00A3227C">
        <w:t>k</w:t>
      </w:r>
      <w:r>
        <w:t xml:space="preserve"> to help fund the development of 8 bungalows at Bracegirdle and Salford Rd. These </w:t>
      </w:r>
      <w:r w:rsidR="00BA6E6E">
        <w:t>sites were</w:t>
      </w:r>
      <w:r>
        <w:t xml:space="preserve"> earmarked for development by our housing company. However</w:t>
      </w:r>
      <w:r w:rsidR="00BA6E6E">
        <w:t>,</w:t>
      </w:r>
      <w:r>
        <w:t xml:space="preserve"> we cannot use this grant within the Housing Company so it is proposed to develop these sites out within the HRA at social rent and make budget provision of £1.325m to do so. </w:t>
      </w:r>
    </w:p>
    <w:p w:rsidR="008514A5" w:rsidRDefault="008514A5" w:rsidP="008514A5">
      <w:pPr>
        <w:ind w:left="720"/>
        <w:rPr>
          <w:rFonts w:eastAsia="Calibri" w:cs="Arial"/>
        </w:rPr>
      </w:pPr>
    </w:p>
    <w:p w:rsidR="00030F4B" w:rsidRDefault="00030F4B" w:rsidP="008514A5">
      <w:pPr>
        <w:ind w:left="720"/>
        <w:rPr>
          <w:rFonts w:eastAsia="Calibri" w:cs="Arial"/>
        </w:rPr>
      </w:pPr>
    </w:p>
    <w:p w:rsidR="00F4559D" w:rsidRPr="00CB1092" w:rsidRDefault="00F4559D" w:rsidP="00030F4B">
      <w:pPr>
        <w:pStyle w:val="Heading1"/>
      </w:pPr>
      <w:r w:rsidRPr="00CB1092">
        <w:t>Housing Revenue Account Budget 201</w:t>
      </w:r>
      <w:r w:rsidR="003B0605">
        <w:t>7</w:t>
      </w:r>
      <w:r w:rsidRPr="00CB1092">
        <w:t>/1</w:t>
      </w:r>
      <w:r w:rsidR="003B0605">
        <w:t>8</w:t>
      </w:r>
      <w:r w:rsidRPr="00CB1092">
        <w:t xml:space="preserve"> to 20</w:t>
      </w:r>
      <w:r w:rsidR="003B0605">
        <w:t>20</w:t>
      </w:r>
      <w:r w:rsidRPr="00CB1092">
        <w:t>/</w:t>
      </w:r>
      <w:r w:rsidR="000E47F3">
        <w:t>2</w:t>
      </w:r>
      <w:r w:rsidR="003B0605">
        <w:t>1</w:t>
      </w:r>
    </w:p>
    <w:p w:rsidR="00F4559D" w:rsidRPr="00CB1092" w:rsidRDefault="00F4559D" w:rsidP="00F4559D">
      <w:pPr>
        <w:tabs>
          <w:tab w:val="left" w:pos="1260"/>
        </w:tabs>
        <w:autoSpaceDE w:val="0"/>
        <w:autoSpaceDN w:val="0"/>
        <w:adjustRightInd w:val="0"/>
        <w:ind w:left="720" w:right="380"/>
        <w:jc w:val="both"/>
        <w:rPr>
          <w:rFonts w:cs="Arial"/>
        </w:rPr>
      </w:pPr>
    </w:p>
    <w:p w:rsidR="00030F4B" w:rsidRPr="005765CE" w:rsidRDefault="00F4559D" w:rsidP="005765CE">
      <w:pPr>
        <w:pStyle w:val="ListParagraph"/>
      </w:pPr>
      <w:r w:rsidRPr="00CB1092">
        <w:t xml:space="preserve">Appendix </w:t>
      </w:r>
      <w:r w:rsidR="00A06D01">
        <w:t>4</w:t>
      </w:r>
      <w:r w:rsidRPr="00CB1092">
        <w:t xml:space="preserve"> details the HRA Budget for the period 201</w:t>
      </w:r>
      <w:r w:rsidR="003B0605">
        <w:t>7</w:t>
      </w:r>
      <w:r w:rsidRPr="00CB1092">
        <w:t>/1</w:t>
      </w:r>
      <w:r w:rsidR="003B0605">
        <w:t>8</w:t>
      </w:r>
      <w:r w:rsidRPr="00CB1092">
        <w:t xml:space="preserve"> to 20</w:t>
      </w:r>
      <w:r w:rsidR="003B0605">
        <w:t>20</w:t>
      </w:r>
      <w:r w:rsidRPr="00CB1092">
        <w:t>/</w:t>
      </w:r>
      <w:r w:rsidR="000E47F3">
        <w:t>2</w:t>
      </w:r>
      <w:r w:rsidR="003B0605">
        <w:t>1</w:t>
      </w:r>
      <w:r w:rsidR="000E47F3">
        <w:t xml:space="preserve"> </w:t>
      </w:r>
      <w:r>
        <w:t xml:space="preserve">which </w:t>
      </w:r>
      <w:r w:rsidRPr="00CB1092">
        <w:t>is summarised below</w:t>
      </w:r>
      <w:r>
        <w:t xml:space="preserve"> for the next four year period</w:t>
      </w:r>
      <w:r w:rsidRPr="00CB1092">
        <w:t>:</w:t>
      </w:r>
    </w:p>
    <w:p w:rsidR="00030F4B" w:rsidRDefault="00030F4B" w:rsidP="00F4559D">
      <w:pPr>
        <w:autoSpaceDE w:val="0"/>
        <w:autoSpaceDN w:val="0"/>
        <w:adjustRightInd w:val="0"/>
        <w:ind w:left="567" w:right="380" w:hanging="567"/>
        <w:jc w:val="both"/>
        <w:rPr>
          <w:rFonts w:cs="Arial"/>
        </w:rPr>
      </w:pPr>
    </w:p>
    <w:tbl>
      <w:tblPr>
        <w:tblW w:w="9840" w:type="dxa"/>
        <w:tblInd w:w="93" w:type="dxa"/>
        <w:tblLook w:val="04A0" w:firstRow="1" w:lastRow="0" w:firstColumn="1" w:lastColumn="0" w:noHBand="0" w:noVBand="1"/>
      </w:tblPr>
      <w:tblGrid>
        <w:gridCol w:w="4700"/>
        <w:gridCol w:w="56"/>
        <w:gridCol w:w="677"/>
        <w:gridCol w:w="284"/>
        <w:gridCol w:w="223"/>
        <w:gridCol w:w="462"/>
        <w:gridCol w:w="276"/>
        <w:gridCol w:w="562"/>
        <w:gridCol w:w="131"/>
        <w:gridCol w:w="268"/>
        <w:gridCol w:w="701"/>
        <w:gridCol w:w="200"/>
        <w:gridCol w:w="99"/>
        <w:gridCol w:w="821"/>
        <w:gridCol w:w="380"/>
      </w:tblGrid>
      <w:tr w:rsidR="00E871FF" w:rsidRPr="00E871FF" w:rsidTr="006C3EF9">
        <w:trPr>
          <w:gridAfter w:val="1"/>
          <w:wAfter w:w="380" w:type="dxa"/>
          <w:trHeight w:val="360"/>
        </w:trPr>
        <w:tc>
          <w:tcPr>
            <w:tcW w:w="8340" w:type="dxa"/>
            <w:gridSpan w:val="11"/>
            <w:tcBorders>
              <w:top w:val="nil"/>
              <w:left w:val="nil"/>
              <w:bottom w:val="nil"/>
              <w:right w:val="nil"/>
            </w:tcBorders>
            <w:shd w:val="clear" w:color="auto" w:fill="auto"/>
            <w:noWrap/>
            <w:vAlign w:val="bottom"/>
            <w:hideMark/>
          </w:tcPr>
          <w:p w:rsidR="00E871FF" w:rsidRPr="00687C99" w:rsidRDefault="00E871FF" w:rsidP="00E871FF">
            <w:pPr>
              <w:rPr>
                <w:rFonts w:cs="Arial"/>
                <w:b/>
                <w:bCs/>
                <w:lang w:eastAsia="en-GB"/>
              </w:rPr>
            </w:pPr>
            <w:r w:rsidRPr="00687C99">
              <w:rPr>
                <w:rFonts w:cs="Arial"/>
                <w:b/>
                <w:bCs/>
                <w:lang w:eastAsia="en-GB"/>
              </w:rPr>
              <w:t>Table 8 Housing Revenue Account 2017-18 to 2020-21</w:t>
            </w:r>
          </w:p>
        </w:tc>
        <w:tc>
          <w:tcPr>
            <w:tcW w:w="1120" w:type="dxa"/>
            <w:gridSpan w:val="3"/>
            <w:tcBorders>
              <w:top w:val="nil"/>
              <w:left w:val="nil"/>
              <w:bottom w:val="nil"/>
              <w:right w:val="nil"/>
            </w:tcBorders>
            <w:shd w:val="clear" w:color="auto" w:fill="auto"/>
            <w:noWrap/>
            <w:vAlign w:val="bottom"/>
            <w:hideMark/>
          </w:tcPr>
          <w:p w:rsidR="00E871FF" w:rsidRPr="00E871FF" w:rsidRDefault="00E871FF" w:rsidP="00E871FF">
            <w:pPr>
              <w:rPr>
                <w:rFonts w:cs="Arial"/>
                <w:sz w:val="20"/>
                <w:szCs w:val="20"/>
                <w:lang w:eastAsia="en-GB"/>
              </w:rPr>
            </w:pPr>
          </w:p>
        </w:tc>
      </w:tr>
      <w:tr w:rsidR="00E871FF" w:rsidRPr="00687C99" w:rsidTr="006C3EF9">
        <w:trPr>
          <w:gridAfter w:val="1"/>
          <w:wAfter w:w="380" w:type="dxa"/>
          <w:trHeight w:val="300"/>
        </w:trPr>
        <w:tc>
          <w:tcPr>
            <w:tcW w:w="5433" w:type="dxa"/>
            <w:gridSpan w:val="3"/>
            <w:tcBorders>
              <w:top w:val="nil"/>
              <w:left w:val="nil"/>
              <w:bottom w:val="nil"/>
              <w:right w:val="nil"/>
            </w:tcBorders>
            <w:shd w:val="clear" w:color="auto" w:fill="auto"/>
            <w:noWrap/>
            <w:vAlign w:val="bottom"/>
            <w:hideMark/>
          </w:tcPr>
          <w:p w:rsidR="006C3EF9" w:rsidRPr="00687C99" w:rsidRDefault="006C3EF9" w:rsidP="00E871FF">
            <w:pPr>
              <w:rPr>
                <w:rFonts w:cs="Arial"/>
                <w:b/>
                <w:bCs/>
                <w:u w:val="single"/>
                <w:lang w:eastAsia="en-GB"/>
              </w:rPr>
            </w:pPr>
          </w:p>
        </w:tc>
        <w:tc>
          <w:tcPr>
            <w:tcW w:w="969" w:type="dxa"/>
            <w:gridSpan w:val="3"/>
            <w:tcBorders>
              <w:top w:val="nil"/>
              <w:left w:val="nil"/>
              <w:bottom w:val="nil"/>
              <w:right w:val="nil"/>
            </w:tcBorders>
            <w:shd w:val="clear" w:color="auto" w:fill="auto"/>
            <w:noWrap/>
            <w:vAlign w:val="bottom"/>
          </w:tcPr>
          <w:p w:rsidR="00E871FF" w:rsidRPr="00687C99" w:rsidRDefault="00E871FF" w:rsidP="00E871FF">
            <w:pPr>
              <w:jc w:val="right"/>
              <w:rPr>
                <w:rFonts w:cs="Arial"/>
                <w:b/>
                <w:bCs/>
                <w:u w:val="single"/>
                <w:lang w:eastAsia="en-GB"/>
              </w:rPr>
            </w:pPr>
          </w:p>
        </w:tc>
        <w:tc>
          <w:tcPr>
            <w:tcW w:w="969" w:type="dxa"/>
            <w:gridSpan w:val="3"/>
            <w:tcBorders>
              <w:top w:val="nil"/>
              <w:left w:val="nil"/>
              <w:bottom w:val="nil"/>
              <w:right w:val="nil"/>
            </w:tcBorders>
            <w:shd w:val="clear" w:color="auto" w:fill="auto"/>
            <w:noWrap/>
            <w:vAlign w:val="bottom"/>
            <w:hideMark/>
          </w:tcPr>
          <w:p w:rsidR="00E871FF" w:rsidRPr="00687C99" w:rsidRDefault="00E871FF" w:rsidP="00E871FF">
            <w:pPr>
              <w:jc w:val="right"/>
              <w:rPr>
                <w:rFonts w:cs="Arial"/>
                <w:b/>
                <w:bCs/>
                <w:u w:val="single"/>
                <w:lang w:eastAsia="en-GB"/>
              </w:rPr>
            </w:pPr>
          </w:p>
        </w:tc>
        <w:tc>
          <w:tcPr>
            <w:tcW w:w="969" w:type="dxa"/>
            <w:gridSpan w:val="2"/>
            <w:tcBorders>
              <w:top w:val="nil"/>
              <w:left w:val="nil"/>
              <w:bottom w:val="nil"/>
              <w:right w:val="nil"/>
            </w:tcBorders>
            <w:shd w:val="clear" w:color="auto" w:fill="auto"/>
            <w:noWrap/>
            <w:vAlign w:val="bottom"/>
          </w:tcPr>
          <w:p w:rsidR="00E871FF" w:rsidRPr="00687C99" w:rsidRDefault="00E871FF" w:rsidP="00E871FF">
            <w:pPr>
              <w:jc w:val="right"/>
              <w:rPr>
                <w:rFonts w:cs="Arial"/>
                <w:b/>
                <w:bCs/>
                <w:u w:val="single"/>
                <w:lang w:eastAsia="en-GB"/>
              </w:rPr>
            </w:pPr>
          </w:p>
        </w:tc>
        <w:tc>
          <w:tcPr>
            <w:tcW w:w="1120" w:type="dxa"/>
            <w:gridSpan w:val="3"/>
            <w:tcBorders>
              <w:top w:val="nil"/>
              <w:left w:val="nil"/>
              <w:bottom w:val="nil"/>
              <w:right w:val="nil"/>
            </w:tcBorders>
            <w:shd w:val="clear" w:color="auto" w:fill="auto"/>
            <w:noWrap/>
            <w:vAlign w:val="bottom"/>
          </w:tcPr>
          <w:p w:rsidR="00E871FF" w:rsidRPr="00687C99" w:rsidRDefault="00E871FF" w:rsidP="00E871FF">
            <w:pPr>
              <w:jc w:val="right"/>
              <w:rPr>
                <w:rFonts w:cs="Arial"/>
                <w:b/>
                <w:bCs/>
                <w:u w:val="single"/>
                <w:lang w:eastAsia="en-GB"/>
              </w:rPr>
            </w:pPr>
          </w:p>
        </w:tc>
      </w:tr>
      <w:tr w:rsidR="006C3EF9" w:rsidRPr="00687C99" w:rsidTr="006C3EF9">
        <w:trPr>
          <w:trHeight w:val="255"/>
        </w:trPr>
        <w:tc>
          <w:tcPr>
            <w:tcW w:w="4700" w:type="dxa"/>
            <w:tcBorders>
              <w:top w:val="single" w:sz="8" w:space="0" w:color="auto"/>
              <w:left w:val="single" w:sz="8" w:space="0" w:color="auto"/>
              <w:bottom w:val="nil"/>
              <w:right w:val="nil"/>
            </w:tcBorders>
            <w:shd w:val="clear" w:color="auto" w:fill="auto"/>
            <w:noWrap/>
            <w:vAlign w:val="bottom"/>
            <w:hideMark/>
          </w:tcPr>
          <w:p w:rsidR="006C3EF9" w:rsidRPr="00687C99" w:rsidRDefault="006C3EF9" w:rsidP="006C3EF9">
            <w:pPr>
              <w:rPr>
                <w:rFonts w:cs="Arial"/>
                <w:b/>
                <w:bCs/>
                <w:u w:val="single"/>
                <w:lang w:eastAsia="en-GB"/>
              </w:rPr>
            </w:pPr>
            <w:r w:rsidRPr="00687C99">
              <w:rPr>
                <w:rFonts w:cs="Arial"/>
                <w:b/>
                <w:bCs/>
                <w:u w:val="single"/>
                <w:lang w:eastAsia="en-GB"/>
              </w:rPr>
              <w:t> </w:t>
            </w:r>
          </w:p>
        </w:tc>
        <w:tc>
          <w:tcPr>
            <w:tcW w:w="1240" w:type="dxa"/>
            <w:gridSpan w:val="4"/>
            <w:tcBorders>
              <w:top w:val="single" w:sz="8" w:space="0" w:color="auto"/>
              <w:left w:val="nil"/>
              <w:bottom w:val="nil"/>
              <w:right w:val="nil"/>
            </w:tcBorders>
            <w:shd w:val="clear" w:color="000000" w:fill="BFBFBF"/>
            <w:noWrap/>
            <w:vAlign w:val="bottom"/>
            <w:hideMark/>
          </w:tcPr>
          <w:p w:rsidR="006C3EF9" w:rsidRPr="00687C99" w:rsidRDefault="006C3EF9" w:rsidP="006C3EF9">
            <w:pPr>
              <w:jc w:val="center"/>
              <w:rPr>
                <w:rFonts w:cs="Arial"/>
                <w:b/>
                <w:bCs/>
                <w:u w:val="single"/>
                <w:lang w:eastAsia="en-GB"/>
              </w:rPr>
            </w:pPr>
            <w:r w:rsidRPr="00687C99">
              <w:rPr>
                <w:rFonts w:cs="Arial"/>
                <w:b/>
                <w:bCs/>
                <w:u w:val="single"/>
                <w:lang w:eastAsia="en-GB"/>
              </w:rPr>
              <w:t>2017/18</w:t>
            </w:r>
          </w:p>
        </w:tc>
        <w:tc>
          <w:tcPr>
            <w:tcW w:w="1300" w:type="dxa"/>
            <w:gridSpan w:val="3"/>
            <w:tcBorders>
              <w:top w:val="single" w:sz="8" w:space="0" w:color="auto"/>
              <w:left w:val="nil"/>
              <w:bottom w:val="nil"/>
              <w:right w:val="nil"/>
            </w:tcBorders>
            <w:shd w:val="clear" w:color="000000" w:fill="BFBFBF"/>
            <w:noWrap/>
            <w:vAlign w:val="bottom"/>
            <w:hideMark/>
          </w:tcPr>
          <w:p w:rsidR="006C3EF9" w:rsidRPr="00687C99" w:rsidRDefault="006C3EF9" w:rsidP="006C3EF9">
            <w:pPr>
              <w:jc w:val="center"/>
              <w:rPr>
                <w:rFonts w:cs="Arial"/>
                <w:b/>
                <w:bCs/>
                <w:u w:val="single"/>
                <w:lang w:eastAsia="en-GB"/>
              </w:rPr>
            </w:pPr>
            <w:r w:rsidRPr="00687C99">
              <w:rPr>
                <w:rFonts w:cs="Arial"/>
                <w:b/>
                <w:bCs/>
                <w:u w:val="single"/>
                <w:lang w:eastAsia="en-GB"/>
              </w:rPr>
              <w:t>2018/19</w:t>
            </w:r>
          </w:p>
        </w:tc>
        <w:tc>
          <w:tcPr>
            <w:tcW w:w="1300" w:type="dxa"/>
            <w:gridSpan w:val="4"/>
            <w:tcBorders>
              <w:top w:val="single" w:sz="8" w:space="0" w:color="auto"/>
              <w:left w:val="nil"/>
              <w:bottom w:val="nil"/>
              <w:right w:val="nil"/>
            </w:tcBorders>
            <w:shd w:val="clear" w:color="000000" w:fill="BFBFBF"/>
            <w:noWrap/>
            <w:vAlign w:val="bottom"/>
            <w:hideMark/>
          </w:tcPr>
          <w:p w:rsidR="006C3EF9" w:rsidRPr="00687C99" w:rsidRDefault="006C3EF9" w:rsidP="006C3EF9">
            <w:pPr>
              <w:jc w:val="center"/>
              <w:rPr>
                <w:rFonts w:cs="Arial"/>
                <w:b/>
                <w:bCs/>
                <w:u w:val="single"/>
                <w:lang w:eastAsia="en-GB"/>
              </w:rPr>
            </w:pPr>
            <w:r w:rsidRPr="00687C99">
              <w:rPr>
                <w:rFonts w:cs="Arial"/>
                <w:b/>
                <w:bCs/>
                <w:u w:val="single"/>
                <w:lang w:eastAsia="en-GB"/>
              </w:rPr>
              <w:t>2019/20</w:t>
            </w:r>
          </w:p>
        </w:tc>
        <w:tc>
          <w:tcPr>
            <w:tcW w:w="1300" w:type="dxa"/>
            <w:gridSpan w:val="3"/>
            <w:tcBorders>
              <w:top w:val="single" w:sz="8" w:space="0" w:color="auto"/>
              <w:left w:val="nil"/>
              <w:bottom w:val="nil"/>
              <w:right w:val="single" w:sz="8" w:space="0" w:color="auto"/>
            </w:tcBorders>
            <w:shd w:val="clear" w:color="000000" w:fill="BFBFBF"/>
            <w:noWrap/>
            <w:vAlign w:val="bottom"/>
            <w:hideMark/>
          </w:tcPr>
          <w:p w:rsidR="006C3EF9" w:rsidRPr="00687C99" w:rsidRDefault="006C3EF9" w:rsidP="006C3EF9">
            <w:pPr>
              <w:jc w:val="center"/>
              <w:rPr>
                <w:rFonts w:cs="Arial"/>
                <w:b/>
                <w:bCs/>
                <w:u w:val="single"/>
                <w:lang w:eastAsia="en-GB"/>
              </w:rPr>
            </w:pPr>
            <w:r w:rsidRPr="00687C99">
              <w:rPr>
                <w:rFonts w:cs="Arial"/>
                <w:b/>
                <w:bCs/>
                <w:u w:val="single"/>
                <w:lang w:eastAsia="en-GB"/>
              </w:rPr>
              <w:t>2020/21</w:t>
            </w:r>
          </w:p>
        </w:tc>
      </w:tr>
      <w:tr w:rsidR="006C3EF9" w:rsidRPr="00687C9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87C99" w:rsidRDefault="006C3EF9" w:rsidP="006C3EF9">
            <w:pPr>
              <w:rPr>
                <w:rFonts w:cs="Arial"/>
                <w:lang w:eastAsia="en-GB"/>
              </w:rPr>
            </w:pPr>
            <w:r w:rsidRPr="00687C99">
              <w:rPr>
                <w:rFonts w:cs="Arial"/>
                <w:lang w:eastAsia="en-GB"/>
              </w:rPr>
              <w:t> </w:t>
            </w:r>
          </w:p>
        </w:tc>
        <w:tc>
          <w:tcPr>
            <w:tcW w:w="1240" w:type="dxa"/>
            <w:gridSpan w:val="4"/>
            <w:tcBorders>
              <w:top w:val="nil"/>
              <w:left w:val="nil"/>
              <w:bottom w:val="nil"/>
              <w:right w:val="nil"/>
            </w:tcBorders>
            <w:shd w:val="clear" w:color="000000" w:fill="BFBFBF"/>
            <w:noWrap/>
            <w:vAlign w:val="bottom"/>
            <w:hideMark/>
          </w:tcPr>
          <w:p w:rsidR="006C3EF9" w:rsidRPr="00687C99" w:rsidRDefault="006C3EF9" w:rsidP="006C3EF9">
            <w:pPr>
              <w:jc w:val="center"/>
              <w:rPr>
                <w:rFonts w:cs="Arial"/>
                <w:b/>
                <w:bCs/>
                <w:lang w:eastAsia="en-GB"/>
              </w:rPr>
            </w:pPr>
            <w:r w:rsidRPr="00687C99">
              <w:rPr>
                <w:rFonts w:cs="Arial"/>
                <w:b/>
                <w:bCs/>
                <w:lang w:eastAsia="en-GB"/>
              </w:rPr>
              <w:t>£m</w:t>
            </w:r>
          </w:p>
        </w:tc>
        <w:tc>
          <w:tcPr>
            <w:tcW w:w="1300" w:type="dxa"/>
            <w:gridSpan w:val="3"/>
            <w:tcBorders>
              <w:top w:val="nil"/>
              <w:left w:val="nil"/>
              <w:bottom w:val="nil"/>
              <w:right w:val="nil"/>
            </w:tcBorders>
            <w:shd w:val="clear" w:color="000000" w:fill="BFBFBF"/>
            <w:noWrap/>
            <w:vAlign w:val="bottom"/>
            <w:hideMark/>
          </w:tcPr>
          <w:p w:rsidR="006C3EF9" w:rsidRPr="00687C99" w:rsidRDefault="006C3EF9" w:rsidP="006C3EF9">
            <w:pPr>
              <w:jc w:val="center"/>
              <w:rPr>
                <w:rFonts w:cs="Arial"/>
                <w:b/>
                <w:bCs/>
                <w:lang w:eastAsia="en-GB"/>
              </w:rPr>
            </w:pPr>
            <w:r w:rsidRPr="00687C99">
              <w:rPr>
                <w:rFonts w:cs="Arial"/>
                <w:b/>
                <w:bCs/>
                <w:lang w:eastAsia="en-GB"/>
              </w:rPr>
              <w:t>£m</w:t>
            </w:r>
          </w:p>
        </w:tc>
        <w:tc>
          <w:tcPr>
            <w:tcW w:w="1300" w:type="dxa"/>
            <w:gridSpan w:val="4"/>
            <w:tcBorders>
              <w:top w:val="nil"/>
              <w:left w:val="nil"/>
              <w:bottom w:val="nil"/>
              <w:right w:val="nil"/>
            </w:tcBorders>
            <w:shd w:val="clear" w:color="000000" w:fill="BFBFBF"/>
            <w:noWrap/>
            <w:vAlign w:val="bottom"/>
            <w:hideMark/>
          </w:tcPr>
          <w:p w:rsidR="006C3EF9" w:rsidRPr="00687C99" w:rsidRDefault="006C3EF9" w:rsidP="006C3EF9">
            <w:pPr>
              <w:jc w:val="center"/>
              <w:rPr>
                <w:rFonts w:cs="Arial"/>
                <w:b/>
                <w:bCs/>
                <w:lang w:eastAsia="en-GB"/>
              </w:rPr>
            </w:pPr>
            <w:r w:rsidRPr="00687C99">
              <w:rPr>
                <w:rFonts w:cs="Arial"/>
                <w:b/>
                <w:bCs/>
                <w:lang w:eastAsia="en-GB"/>
              </w:rPr>
              <w:t>£m</w:t>
            </w:r>
          </w:p>
        </w:tc>
        <w:tc>
          <w:tcPr>
            <w:tcW w:w="1300" w:type="dxa"/>
            <w:gridSpan w:val="3"/>
            <w:tcBorders>
              <w:top w:val="nil"/>
              <w:left w:val="nil"/>
              <w:bottom w:val="nil"/>
              <w:right w:val="single" w:sz="8" w:space="0" w:color="auto"/>
            </w:tcBorders>
            <w:shd w:val="clear" w:color="000000" w:fill="BFBFBF"/>
            <w:noWrap/>
            <w:vAlign w:val="bottom"/>
            <w:hideMark/>
          </w:tcPr>
          <w:p w:rsidR="006C3EF9" w:rsidRPr="00687C99" w:rsidRDefault="006C3EF9" w:rsidP="006C3EF9">
            <w:pPr>
              <w:jc w:val="center"/>
              <w:rPr>
                <w:rFonts w:cs="Arial"/>
                <w:b/>
                <w:bCs/>
                <w:lang w:eastAsia="en-GB"/>
              </w:rPr>
            </w:pPr>
            <w:r w:rsidRPr="00687C99">
              <w:rPr>
                <w:rFonts w:cs="Arial"/>
                <w:b/>
                <w:bCs/>
                <w:lang w:eastAsia="en-GB"/>
              </w:rPr>
              <w:t>£m</w:t>
            </w:r>
          </w:p>
        </w:tc>
      </w:tr>
      <w:tr w:rsidR="006C3EF9" w:rsidRPr="00687C9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87C99" w:rsidRDefault="006C3EF9" w:rsidP="006C3EF9">
            <w:pPr>
              <w:rPr>
                <w:rFonts w:cs="Arial"/>
                <w:b/>
                <w:bCs/>
                <w:u w:val="single"/>
                <w:lang w:eastAsia="en-GB"/>
              </w:rPr>
            </w:pPr>
            <w:r w:rsidRPr="00687C99">
              <w:rPr>
                <w:rFonts w:cs="Arial"/>
                <w:b/>
                <w:bCs/>
                <w:u w:val="single"/>
                <w:lang w:eastAsia="en-GB"/>
              </w:rPr>
              <w:t>Income</w:t>
            </w:r>
          </w:p>
        </w:tc>
        <w:tc>
          <w:tcPr>
            <w:tcW w:w="1240" w:type="dxa"/>
            <w:gridSpan w:val="4"/>
            <w:tcBorders>
              <w:top w:val="nil"/>
              <w:left w:val="nil"/>
              <w:bottom w:val="nil"/>
              <w:right w:val="nil"/>
            </w:tcBorders>
            <w:shd w:val="clear" w:color="auto" w:fill="auto"/>
            <w:noWrap/>
            <w:vAlign w:val="bottom"/>
            <w:hideMark/>
          </w:tcPr>
          <w:p w:rsidR="006C3EF9" w:rsidRPr="00687C99" w:rsidRDefault="006C3EF9" w:rsidP="006C3EF9">
            <w:pPr>
              <w:rPr>
                <w:rFonts w:cs="Arial"/>
                <w:lang w:eastAsia="en-GB"/>
              </w:rPr>
            </w:pPr>
          </w:p>
        </w:tc>
        <w:tc>
          <w:tcPr>
            <w:tcW w:w="1300" w:type="dxa"/>
            <w:gridSpan w:val="3"/>
            <w:tcBorders>
              <w:top w:val="nil"/>
              <w:left w:val="nil"/>
              <w:bottom w:val="nil"/>
              <w:right w:val="nil"/>
            </w:tcBorders>
            <w:shd w:val="clear" w:color="auto" w:fill="auto"/>
            <w:noWrap/>
            <w:vAlign w:val="bottom"/>
            <w:hideMark/>
          </w:tcPr>
          <w:p w:rsidR="006C3EF9" w:rsidRPr="00687C99" w:rsidRDefault="006C3EF9" w:rsidP="006C3EF9">
            <w:pPr>
              <w:rPr>
                <w:rFonts w:cs="Arial"/>
                <w:lang w:eastAsia="en-GB"/>
              </w:rPr>
            </w:pPr>
          </w:p>
        </w:tc>
        <w:tc>
          <w:tcPr>
            <w:tcW w:w="1300" w:type="dxa"/>
            <w:gridSpan w:val="4"/>
            <w:tcBorders>
              <w:top w:val="nil"/>
              <w:left w:val="nil"/>
              <w:bottom w:val="nil"/>
              <w:right w:val="nil"/>
            </w:tcBorders>
            <w:shd w:val="clear" w:color="auto" w:fill="auto"/>
            <w:noWrap/>
            <w:vAlign w:val="bottom"/>
            <w:hideMark/>
          </w:tcPr>
          <w:p w:rsidR="006C3EF9" w:rsidRPr="00687C99" w:rsidRDefault="006C3EF9" w:rsidP="006C3EF9">
            <w:pPr>
              <w:rPr>
                <w:rFonts w:cs="Arial"/>
                <w:lang w:eastAsia="en-GB"/>
              </w:rPr>
            </w:pPr>
          </w:p>
        </w:tc>
        <w:tc>
          <w:tcPr>
            <w:tcW w:w="1300" w:type="dxa"/>
            <w:gridSpan w:val="3"/>
            <w:tcBorders>
              <w:top w:val="nil"/>
              <w:left w:val="nil"/>
              <w:bottom w:val="nil"/>
              <w:right w:val="single" w:sz="8" w:space="0" w:color="auto"/>
            </w:tcBorders>
            <w:shd w:val="clear" w:color="auto" w:fill="auto"/>
            <w:noWrap/>
            <w:vAlign w:val="bottom"/>
            <w:hideMark/>
          </w:tcPr>
          <w:p w:rsidR="006C3EF9" w:rsidRPr="00687C99" w:rsidRDefault="006C3EF9" w:rsidP="006C3EF9">
            <w:pPr>
              <w:rPr>
                <w:rFonts w:cs="Arial"/>
                <w:lang w:eastAsia="en-GB"/>
              </w:rPr>
            </w:pPr>
            <w:r w:rsidRPr="00687C99">
              <w:rPr>
                <w:rFonts w:cs="Arial"/>
                <w:lang w:eastAsia="en-GB"/>
              </w:rPr>
              <w:t> </w:t>
            </w:r>
          </w:p>
        </w:tc>
      </w:tr>
      <w:tr w:rsidR="006C3EF9" w:rsidRPr="00687C9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87C99" w:rsidRDefault="006C3EF9" w:rsidP="006C3EF9">
            <w:pPr>
              <w:rPr>
                <w:rFonts w:cs="Arial"/>
                <w:b/>
                <w:bCs/>
                <w:lang w:eastAsia="en-GB"/>
              </w:rPr>
            </w:pPr>
            <w:r w:rsidRPr="00687C99">
              <w:rPr>
                <w:rFonts w:cs="Arial"/>
                <w:b/>
                <w:bCs/>
                <w:lang w:eastAsia="en-GB"/>
              </w:rPr>
              <w:t>Total Income</w:t>
            </w:r>
          </w:p>
        </w:tc>
        <w:tc>
          <w:tcPr>
            <w:tcW w:w="1240" w:type="dxa"/>
            <w:gridSpan w:val="4"/>
            <w:tcBorders>
              <w:top w:val="single" w:sz="4" w:space="0" w:color="auto"/>
              <w:left w:val="nil"/>
              <w:bottom w:val="nil"/>
              <w:right w:val="nil"/>
            </w:tcBorders>
            <w:shd w:val="clear" w:color="auto" w:fill="auto"/>
            <w:noWrap/>
            <w:vAlign w:val="bottom"/>
            <w:hideMark/>
          </w:tcPr>
          <w:p w:rsidR="006C3EF9" w:rsidRPr="00687C99" w:rsidRDefault="006C3EF9" w:rsidP="006C3EF9">
            <w:pPr>
              <w:jc w:val="right"/>
              <w:rPr>
                <w:rFonts w:cs="Arial"/>
                <w:b/>
                <w:bCs/>
                <w:lang w:eastAsia="en-GB"/>
              </w:rPr>
            </w:pPr>
            <w:r w:rsidRPr="00687C99">
              <w:rPr>
                <w:rFonts w:cs="Arial"/>
                <w:b/>
                <w:bCs/>
                <w:color w:val="FF0000"/>
                <w:lang w:eastAsia="en-GB"/>
              </w:rPr>
              <w:t>(44,285)</w:t>
            </w:r>
          </w:p>
        </w:tc>
        <w:tc>
          <w:tcPr>
            <w:tcW w:w="1300" w:type="dxa"/>
            <w:gridSpan w:val="3"/>
            <w:tcBorders>
              <w:top w:val="single" w:sz="4" w:space="0" w:color="auto"/>
              <w:left w:val="nil"/>
              <w:bottom w:val="nil"/>
              <w:right w:val="nil"/>
            </w:tcBorders>
            <w:shd w:val="clear" w:color="auto" w:fill="auto"/>
            <w:noWrap/>
            <w:vAlign w:val="bottom"/>
            <w:hideMark/>
          </w:tcPr>
          <w:p w:rsidR="006C3EF9" w:rsidRPr="00687C99" w:rsidRDefault="006C3EF9" w:rsidP="006C3EF9">
            <w:pPr>
              <w:jc w:val="right"/>
              <w:rPr>
                <w:rFonts w:cs="Arial"/>
                <w:b/>
                <w:bCs/>
                <w:lang w:eastAsia="en-GB"/>
              </w:rPr>
            </w:pPr>
            <w:r w:rsidRPr="00687C99">
              <w:rPr>
                <w:rFonts w:cs="Arial"/>
                <w:b/>
                <w:bCs/>
                <w:color w:val="FF0000"/>
                <w:lang w:eastAsia="en-GB"/>
              </w:rPr>
              <w:t>(43,310)</w:t>
            </w:r>
          </w:p>
        </w:tc>
        <w:tc>
          <w:tcPr>
            <w:tcW w:w="1300" w:type="dxa"/>
            <w:gridSpan w:val="4"/>
            <w:tcBorders>
              <w:top w:val="single" w:sz="4" w:space="0" w:color="auto"/>
              <w:left w:val="nil"/>
              <w:bottom w:val="nil"/>
              <w:right w:val="nil"/>
            </w:tcBorders>
            <w:shd w:val="clear" w:color="auto" w:fill="auto"/>
            <w:noWrap/>
            <w:vAlign w:val="bottom"/>
            <w:hideMark/>
          </w:tcPr>
          <w:p w:rsidR="006C3EF9" w:rsidRPr="00687C99" w:rsidRDefault="006C3EF9" w:rsidP="006C3EF9">
            <w:pPr>
              <w:jc w:val="right"/>
              <w:rPr>
                <w:rFonts w:cs="Arial"/>
                <w:b/>
                <w:bCs/>
                <w:lang w:eastAsia="en-GB"/>
              </w:rPr>
            </w:pPr>
            <w:r w:rsidRPr="00687C99">
              <w:rPr>
                <w:rFonts w:cs="Arial"/>
                <w:b/>
                <w:bCs/>
                <w:color w:val="FF0000"/>
                <w:lang w:eastAsia="en-GB"/>
              </w:rPr>
              <w:t>(43,575)</w:t>
            </w:r>
          </w:p>
        </w:tc>
        <w:tc>
          <w:tcPr>
            <w:tcW w:w="1300" w:type="dxa"/>
            <w:gridSpan w:val="3"/>
            <w:tcBorders>
              <w:top w:val="single" w:sz="4" w:space="0" w:color="auto"/>
              <w:left w:val="nil"/>
              <w:bottom w:val="nil"/>
              <w:right w:val="single" w:sz="8" w:space="0" w:color="auto"/>
            </w:tcBorders>
            <w:shd w:val="clear" w:color="auto" w:fill="auto"/>
            <w:noWrap/>
            <w:vAlign w:val="bottom"/>
            <w:hideMark/>
          </w:tcPr>
          <w:p w:rsidR="006C3EF9" w:rsidRPr="00687C99" w:rsidRDefault="006C3EF9" w:rsidP="006C3EF9">
            <w:pPr>
              <w:jc w:val="right"/>
              <w:rPr>
                <w:rFonts w:cs="Arial"/>
                <w:b/>
                <w:bCs/>
                <w:lang w:eastAsia="en-GB"/>
              </w:rPr>
            </w:pPr>
            <w:r w:rsidRPr="00687C99">
              <w:rPr>
                <w:rFonts w:cs="Arial"/>
                <w:b/>
                <w:bCs/>
                <w:color w:val="FF0000"/>
                <w:lang w:eastAsia="en-GB"/>
              </w:rPr>
              <w:t>(44,180)</w:t>
            </w:r>
          </w:p>
        </w:tc>
      </w:tr>
      <w:tr w:rsidR="006C3EF9" w:rsidRPr="00687C9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87C99" w:rsidRDefault="006C3EF9" w:rsidP="006C3EF9">
            <w:pPr>
              <w:rPr>
                <w:rFonts w:cs="Arial"/>
                <w:lang w:eastAsia="en-GB"/>
              </w:rPr>
            </w:pPr>
            <w:r w:rsidRPr="00687C99">
              <w:rPr>
                <w:rFonts w:cs="Arial"/>
                <w:lang w:eastAsia="en-GB"/>
              </w:rPr>
              <w:t> </w:t>
            </w:r>
          </w:p>
        </w:tc>
        <w:tc>
          <w:tcPr>
            <w:tcW w:w="1240" w:type="dxa"/>
            <w:gridSpan w:val="4"/>
            <w:tcBorders>
              <w:top w:val="nil"/>
              <w:left w:val="nil"/>
              <w:bottom w:val="nil"/>
              <w:right w:val="nil"/>
            </w:tcBorders>
            <w:shd w:val="clear" w:color="auto" w:fill="auto"/>
            <w:noWrap/>
            <w:vAlign w:val="bottom"/>
            <w:hideMark/>
          </w:tcPr>
          <w:p w:rsidR="006C3EF9" w:rsidRPr="00687C99" w:rsidRDefault="006C3EF9" w:rsidP="006C3EF9">
            <w:pPr>
              <w:rPr>
                <w:rFonts w:cs="Arial"/>
                <w:lang w:eastAsia="en-GB"/>
              </w:rPr>
            </w:pPr>
          </w:p>
        </w:tc>
        <w:tc>
          <w:tcPr>
            <w:tcW w:w="1300" w:type="dxa"/>
            <w:gridSpan w:val="3"/>
            <w:tcBorders>
              <w:top w:val="nil"/>
              <w:left w:val="nil"/>
              <w:bottom w:val="nil"/>
              <w:right w:val="nil"/>
            </w:tcBorders>
            <w:shd w:val="clear" w:color="auto" w:fill="auto"/>
            <w:noWrap/>
            <w:vAlign w:val="bottom"/>
            <w:hideMark/>
          </w:tcPr>
          <w:p w:rsidR="006C3EF9" w:rsidRPr="00687C99" w:rsidRDefault="006C3EF9" w:rsidP="006C3EF9">
            <w:pPr>
              <w:rPr>
                <w:rFonts w:cs="Arial"/>
                <w:lang w:eastAsia="en-GB"/>
              </w:rPr>
            </w:pPr>
          </w:p>
        </w:tc>
        <w:tc>
          <w:tcPr>
            <w:tcW w:w="1300" w:type="dxa"/>
            <w:gridSpan w:val="4"/>
            <w:tcBorders>
              <w:top w:val="nil"/>
              <w:left w:val="nil"/>
              <w:bottom w:val="nil"/>
              <w:right w:val="nil"/>
            </w:tcBorders>
            <w:shd w:val="clear" w:color="auto" w:fill="auto"/>
            <w:noWrap/>
            <w:vAlign w:val="bottom"/>
            <w:hideMark/>
          </w:tcPr>
          <w:p w:rsidR="006C3EF9" w:rsidRPr="00687C99" w:rsidRDefault="006C3EF9" w:rsidP="006C3EF9">
            <w:pPr>
              <w:rPr>
                <w:rFonts w:cs="Arial"/>
                <w:lang w:eastAsia="en-GB"/>
              </w:rPr>
            </w:pPr>
          </w:p>
        </w:tc>
        <w:tc>
          <w:tcPr>
            <w:tcW w:w="1300" w:type="dxa"/>
            <w:gridSpan w:val="3"/>
            <w:tcBorders>
              <w:top w:val="nil"/>
              <w:left w:val="nil"/>
              <w:bottom w:val="nil"/>
              <w:right w:val="single" w:sz="8" w:space="0" w:color="auto"/>
            </w:tcBorders>
            <w:shd w:val="clear" w:color="auto" w:fill="auto"/>
            <w:noWrap/>
            <w:vAlign w:val="bottom"/>
            <w:hideMark/>
          </w:tcPr>
          <w:p w:rsidR="006C3EF9" w:rsidRPr="00687C99" w:rsidRDefault="006C3EF9" w:rsidP="006C3EF9">
            <w:pPr>
              <w:rPr>
                <w:rFonts w:cs="Arial"/>
                <w:lang w:eastAsia="en-GB"/>
              </w:rPr>
            </w:pPr>
            <w:r w:rsidRPr="00687C99">
              <w:rPr>
                <w:rFonts w:cs="Arial"/>
                <w:lang w:eastAsia="en-GB"/>
              </w:rPr>
              <w:t> </w:t>
            </w:r>
          </w:p>
        </w:tc>
      </w:tr>
      <w:tr w:rsidR="006C3EF9" w:rsidRPr="00687C9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87C99" w:rsidRDefault="006C3EF9" w:rsidP="006C3EF9">
            <w:pPr>
              <w:rPr>
                <w:rFonts w:cs="Arial"/>
                <w:b/>
                <w:bCs/>
                <w:u w:val="single"/>
                <w:lang w:eastAsia="en-GB"/>
              </w:rPr>
            </w:pPr>
            <w:r w:rsidRPr="00687C99">
              <w:rPr>
                <w:rFonts w:cs="Arial"/>
                <w:b/>
                <w:bCs/>
                <w:u w:val="single"/>
                <w:lang w:eastAsia="en-GB"/>
              </w:rPr>
              <w:t>Expenditure</w:t>
            </w:r>
          </w:p>
        </w:tc>
        <w:tc>
          <w:tcPr>
            <w:tcW w:w="1240" w:type="dxa"/>
            <w:gridSpan w:val="4"/>
            <w:tcBorders>
              <w:top w:val="nil"/>
              <w:left w:val="nil"/>
              <w:bottom w:val="nil"/>
              <w:right w:val="nil"/>
            </w:tcBorders>
            <w:shd w:val="clear" w:color="auto" w:fill="auto"/>
            <w:noWrap/>
            <w:vAlign w:val="bottom"/>
            <w:hideMark/>
          </w:tcPr>
          <w:p w:rsidR="006C3EF9" w:rsidRPr="00687C99" w:rsidRDefault="006C3EF9" w:rsidP="006C3EF9">
            <w:pPr>
              <w:rPr>
                <w:rFonts w:cs="Arial"/>
                <w:lang w:eastAsia="en-GB"/>
              </w:rPr>
            </w:pPr>
          </w:p>
        </w:tc>
        <w:tc>
          <w:tcPr>
            <w:tcW w:w="1300" w:type="dxa"/>
            <w:gridSpan w:val="3"/>
            <w:tcBorders>
              <w:top w:val="nil"/>
              <w:left w:val="nil"/>
              <w:bottom w:val="nil"/>
              <w:right w:val="nil"/>
            </w:tcBorders>
            <w:shd w:val="clear" w:color="auto" w:fill="auto"/>
            <w:noWrap/>
            <w:vAlign w:val="bottom"/>
            <w:hideMark/>
          </w:tcPr>
          <w:p w:rsidR="006C3EF9" w:rsidRPr="00687C99" w:rsidRDefault="006C3EF9" w:rsidP="006C3EF9">
            <w:pPr>
              <w:rPr>
                <w:rFonts w:cs="Arial"/>
                <w:lang w:eastAsia="en-GB"/>
              </w:rPr>
            </w:pPr>
          </w:p>
        </w:tc>
        <w:tc>
          <w:tcPr>
            <w:tcW w:w="1300" w:type="dxa"/>
            <w:gridSpan w:val="4"/>
            <w:tcBorders>
              <w:top w:val="nil"/>
              <w:left w:val="nil"/>
              <w:bottom w:val="nil"/>
              <w:right w:val="nil"/>
            </w:tcBorders>
            <w:shd w:val="clear" w:color="auto" w:fill="auto"/>
            <w:noWrap/>
            <w:vAlign w:val="bottom"/>
            <w:hideMark/>
          </w:tcPr>
          <w:p w:rsidR="006C3EF9" w:rsidRPr="00687C99" w:rsidRDefault="006C3EF9" w:rsidP="006C3EF9">
            <w:pPr>
              <w:rPr>
                <w:rFonts w:cs="Arial"/>
                <w:lang w:eastAsia="en-GB"/>
              </w:rPr>
            </w:pPr>
          </w:p>
        </w:tc>
        <w:tc>
          <w:tcPr>
            <w:tcW w:w="1300" w:type="dxa"/>
            <w:gridSpan w:val="3"/>
            <w:tcBorders>
              <w:top w:val="nil"/>
              <w:left w:val="nil"/>
              <w:bottom w:val="nil"/>
              <w:right w:val="single" w:sz="8" w:space="0" w:color="auto"/>
            </w:tcBorders>
            <w:shd w:val="clear" w:color="auto" w:fill="auto"/>
            <w:noWrap/>
            <w:vAlign w:val="bottom"/>
            <w:hideMark/>
          </w:tcPr>
          <w:p w:rsidR="006C3EF9" w:rsidRPr="00687C99" w:rsidRDefault="006C3EF9" w:rsidP="006C3EF9">
            <w:pPr>
              <w:rPr>
                <w:rFonts w:cs="Arial"/>
                <w:lang w:eastAsia="en-GB"/>
              </w:rPr>
            </w:pPr>
            <w:r w:rsidRPr="00687C99">
              <w:rPr>
                <w:rFonts w:cs="Arial"/>
                <w:lang w:eastAsia="en-GB"/>
              </w:rPr>
              <w:t> </w:t>
            </w:r>
          </w:p>
        </w:tc>
      </w:tr>
      <w:tr w:rsidR="006C3EF9" w:rsidRPr="00687C9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87C99" w:rsidRDefault="006C3EF9" w:rsidP="006C3EF9">
            <w:pPr>
              <w:rPr>
                <w:rFonts w:cs="Arial"/>
                <w:b/>
                <w:bCs/>
                <w:lang w:eastAsia="en-GB"/>
              </w:rPr>
            </w:pPr>
            <w:r w:rsidRPr="00687C99">
              <w:rPr>
                <w:rFonts w:cs="Arial"/>
                <w:b/>
                <w:bCs/>
                <w:lang w:eastAsia="en-GB"/>
              </w:rPr>
              <w:t>Total Expenditure</w:t>
            </w:r>
          </w:p>
        </w:tc>
        <w:tc>
          <w:tcPr>
            <w:tcW w:w="1240" w:type="dxa"/>
            <w:gridSpan w:val="4"/>
            <w:tcBorders>
              <w:top w:val="nil"/>
              <w:left w:val="nil"/>
              <w:bottom w:val="nil"/>
              <w:right w:val="nil"/>
            </w:tcBorders>
            <w:shd w:val="clear" w:color="auto" w:fill="auto"/>
            <w:noWrap/>
            <w:vAlign w:val="bottom"/>
            <w:hideMark/>
          </w:tcPr>
          <w:p w:rsidR="006C3EF9" w:rsidRPr="00687C99" w:rsidRDefault="006C3EF9" w:rsidP="006C3EF9">
            <w:pPr>
              <w:jc w:val="right"/>
              <w:rPr>
                <w:rFonts w:cs="Arial"/>
                <w:b/>
                <w:bCs/>
                <w:lang w:eastAsia="en-GB"/>
              </w:rPr>
            </w:pPr>
            <w:r w:rsidRPr="00687C99">
              <w:rPr>
                <w:rFonts w:cs="Arial"/>
                <w:b/>
                <w:bCs/>
                <w:lang w:eastAsia="en-GB"/>
              </w:rPr>
              <w:t>35,967</w:t>
            </w:r>
          </w:p>
        </w:tc>
        <w:tc>
          <w:tcPr>
            <w:tcW w:w="1300" w:type="dxa"/>
            <w:gridSpan w:val="3"/>
            <w:tcBorders>
              <w:top w:val="nil"/>
              <w:left w:val="nil"/>
              <w:bottom w:val="nil"/>
              <w:right w:val="nil"/>
            </w:tcBorders>
            <w:shd w:val="clear" w:color="auto" w:fill="auto"/>
            <w:noWrap/>
            <w:vAlign w:val="bottom"/>
            <w:hideMark/>
          </w:tcPr>
          <w:p w:rsidR="006C3EF9" w:rsidRPr="00687C99" w:rsidRDefault="006C3EF9" w:rsidP="006C3EF9">
            <w:pPr>
              <w:jc w:val="right"/>
              <w:rPr>
                <w:rFonts w:cs="Arial"/>
                <w:b/>
                <w:bCs/>
                <w:lang w:eastAsia="en-GB"/>
              </w:rPr>
            </w:pPr>
            <w:r w:rsidRPr="00687C99">
              <w:rPr>
                <w:rFonts w:cs="Arial"/>
                <w:b/>
                <w:bCs/>
                <w:lang w:eastAsia="en-GB"/>
              </w:rPr>
              <w:t>36,112</w:t>
            </w:r>
          </w:p>
        </w:tc>
        <w:tc>
          <w:tcPr>
            <w:tcW w:w="1300" w:type="dxa"/>
            <w:gridSpan w:val="4"/>
            <w:tcBorders>
              <w:top w:val="nil"/>
              <w:left w:val="nil"/>
              <w:bottom w:val="nil"/>
              <w:right w:val="nil"/>
            </w:tcBorders>
            <w:shd w:val="clear" w:color="auto" w:fill="auto"/>
            <w:noWrap/>
            <w:vAlign w:val="bottom"/>
            <w:hideMark/>
          </w:tcPr>
          <w:p w:rsidR="006C3EF9" w:rsidRPr="00687C99" w:rsidRDefault="006C3EF9" w:rsidP="006C3EF9">
            <w:pPr>
              <w:jc w:val="right"/>
              <w:rPr>
                <w:rFonts w:cs="Arial"/>
                <w:b/>
                <w:bCs/>
                <w:lang w:eastAsia="en-GB"/>
              </w:rPr>
            </w:pPr>
            <w:r w:rsidRPr="00687C99">
              <w:rPr>
                <w:rFonts w:cs="Arial"/>
                <w:b/>
                <w:bCs/>
                <w:lang w:eastAsia="en-GB"/>
              </w:rPr>
              <w:t>35,854</w:t>
            </w:r>
          </w:p>
        </w:tc>
        <w:tc>
          <w:tcPr>
            <w:tcW w:w="1300" w:type="dxa"/>
            <w:gridSpan w:val="3"/>
            <w:tcBorders>
              <w:top w:val="nil"/>
              <w:left w:val="nil"/>
              <w:bottom w:val="nil"/>
              <w:right w:val="single" w:sz="8" w:space="0" w:color="auto"/>
            </w:tcBorders>
            <w:shd w:val="clear" w:color="auto" w:fill="auto"/>
            <w:noWrap/>
            <w:vAlign w:val="bottom"/>
            <w:hideMark/>
          </w:tcPr>
          <w:p w:rsidR="006C3EF9" w:rsidRPr="00687C99" w:rsidRDefault="006C3EF9" w:rsidP="006C3EF9">
            <w:pPr>
              <w:jc w:val="right"/>
              <w:rPr>
                <w:rFonts w:cs="Arial"/>
                <w:b/>
                <w:bCs/>
                <w:lang w:eastAsia="en-GB"/>
              </w:rPr>
            </w:pPr>
            <w:r w:rsidRPr="00687C99">
              <w:rPr>
                <w:rFonts w:cs="Arial"/>
                <w:b/>
                <w:bCs/>
                <w:lang w:eastAsia="en-GB"/>
              </w:rPr>
              <w:t>37,195</w:t>
            </w:r>
          </w:p>
        </w:tc>
      </w:tr>
      <w:tr w:rsidR="006C3EF9" w:rsidRPr="00687C9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87C99" w:rsidRDefault="006C3EF9" w:rsidP="006C3EF9">
            <w:pPr>
              <w:rPr>
                <w:rFonts w:cs="Arial"/>
                <w:lang w:eastAsia="en-GB"/>
              </w:rPr>
            </w:pPr>
            <w:r w:rsidRPr="00687C99">
              <w:rPr>
                <w:rFonts w:cs="Arial"/>
                <w:lang w:eastAsia="en-GB"/>
              </w:rPr>
              <w:t> </w:t>
            </w:r>
          </w:p>
        </w:tc>
        <w:tc>
          <w:tcPr>
            <w:tcW w:w="1240" w:type="dxa"/>
            <w:gridSpan w:val="4"/>
            <w:tcBorders>
              <w:top w:val="nil"/>
              <w:left w:val="nil"/>
              <w:bottom w:val="nil"/>
              <w:right w:val="nil"/>
            </w:tcBorders>
            <w:shd w:val="clear" w:color="auto" w:fill="auto"/>
            <w:noWrap/>
            <w:vAlign w:val="bottom"/>
            <w:hideMark/>
          </w:tcPr>
          <w:p w:rsidR="006C3EF9" w:rsidRPr="00687C99" w:rsidRDefault="006C3EF9" w:rsidP="006C3EF9">
            <w:pPr>
              <w:rPr>
                <w:rFonts w:cs="Arial"/>
                <w:lang w:eastAsia="en-GB"/>
              </w:rPr>
            </w:pPr>
          </w:p>
        </w:tc>
        <w:tc>
          <w:tcPr>
            <w:tcW w:w="1300" w:type="dxa"/>
            <w:gridSpan w:val="3"/>
            <w:tcBorders>
              <w:top w:val="nil"/>
              <w:left w:val="nil"/>
              <w:bottom w:val="nil"/>
              <w:right w:val="nil"/>
            </w:tcBorders>
            <w:shd w:val="clear" w:color="auto" w:fill="auto"/>
            <w:noWrap/>
            <w:vAlign w:val="bottom"/>
            <w:hideMark/>
          </w:tcPr>
          <w:p w:rsidR="006C3EF9" w:rsidRPr="00687C99" w:rsidRDefault="006C3EF9" w:rsidP="006C3EF9">
            <w:pPr>
              <w:rPr>
                <w:rFonts w:cs="Arial"/>
                <w:lang w:eastAsia="en-GB"/>
              </w:rPr>
            </w:pPr>
          </w:p>
        </w:tc>
        <w:tc>
          <w:tcPr>
            <w:tcW w:w="1300" w:type="dxa"/>
            <w:gridSpan w:val="4"/>
            <w:tcBorders>
              <w:top w:val="nil"/>
              <w:left w:val="nil"/>
              <w:bottom w:val="nil"/>
              <w:right w:val="nil"/>
            </w:tcBorders>
            <w:shd w:val="clear" w:color="auto" w:fill="auto"/>
            <w:noWrap/>
            <w:vAlign w:val="bottom"/>
            <w:hideMark/>
          </w:tcPr>
          <w:p w:rsidR="006C3EF9" w:rsidRPr="00687C99" w:rsidRDefault="006C3EF9" w:rsidP="006C3EF9">
            <w:pPr>
              <w:rPr>
                <w:rFonts w:cs="Arial"/>
                <w:lang w:eastAsia="en-GB"/>
              </w:rPr>
            </w:pPr>
          </w:p>
        </w:tc>
        <w:tc>
          <w:tcPr>
            <w:tcW w:w="1300" w:type="dxa"/>
            <w:gridSpan w:val="3"/>
            <w:tcBorders>
              <w:top w:val="nil"/>
              <w:left w:val="nil"/>
              <w:bottom w:val="nil"/>
              <w:right w:val="single" w:sz="8" w:space="0" w:color="auto"/>
            </w:tcBorders>
            <w:shd w:val="clear" w:color="auto" w:fill="auto"/>
            <w:noWrap/>
            <w:vAlign w:val="bottom"/>
            <w:hideMark/>
          </w:tcPr>
          <w:p w:rsidR="006C3EF9" w:rsidRPr="00687C99" w:rsidRDefault="006C3EF9" w:rsidP="006C3EF9">
            <w:pPr>
              <w:rPr>
                <w:rFonts w:cs="Arial"/>
                <w:lang w:eastAsia="en-GB"/>
              </w:rPr>
            </w:pPr>
            <w:r w:rsidRPr="00687C99">
              <w:rPr>
                <w:rFonts w:cs="Arial"/>
                <w:lang w:eastAsia="en-GB"/>
              </w:rPr>
              <w:t> </w:t>
            </w:r>
          </w:p>
        </w:tc>
      </w:tr>
      <w:tr w:rsidR="006C3EF9" w:rsidRPr="00687C9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87C99" w:rsidRDefault="006C3EF9" w:rsidP="006C3EF9">
            <w:pPr>
              <w:rPr>
                <w:rFonts w:cs="Arial"/>
                <w:b/>
                <w:bCs/>
                <w:lang w:eastAsia="en-GB"/>
              </w:rPr>
            </w:pPr>
            <w:r w:rsidRPr="00687C99">
              <w:rPr>
                <w:rFonts w:cs="Arial"/>
                <w:b/>
                <w:bCs/>
                <w:lang w:eastAsia="en-GB"/>
              </w:rPr>
              <w:t>Net Operating Expenditure</w:t>
            </w:r>
          </w:p>
        </w:tc>
        <w:tc>
          <w:tcPr>
            <w:tcW w:w="1240" w:type="dxa"/>
            <w:gridSpan w:val="4"/>
            <w:tcBorders>
              <w:top w:val="nil"/>
              <w:left w:val="nil"/>
              <w:bottom w:val="nil"/>
              <w:right w:val="nil"/>
            </w:tcBorders>
            <w:shd w:val="clear" w:color="auto" w:fill="auto"/>
            <w:noWrap/>
            <w:vAlign w:val="bottom"/>
            <w:hideMark/>
          </w:tcPr>
          <w:p w:rsidR="006C3EF9" w:rsidRPr="00687C99" w:rsidRDefault="006C3EF9" w:rsidP="006C3EF9">
            <w:pPr>
              <w:jc w:val="right"/>
              <w:rPr>
                <w:rFonts w:cs="Arial"/>
                <w:b/>
                <w:bCs/>
                <w:lang w:eastAsia="en-GB"/>
              </w:rPr>
            </w:pPr>
            <w:r w:rsidRPr="00687C99">
              <w:rPr>
                <w:rFonts w:cs="Arial"/>
                <w:b/>
                <w:bCs/>
                <w:color w:val="FF0000"/>
                <w:lang w:eastAsia="en-GB"/>
              </w:rPr>
              <w:t>(8,318)</w:t>
            </w:r>
          </w:p>
        </w:tc>
        <w:tc>
          <w:tcPr>
            <w:tcW w:w="1300" w:type="dxa"/>
            <w:gridSpan w:val="3"/>
            <w:tcBorders>
              <w:top w:val="nil"/>
              <w:left w:val="nil"/>
              <w:bottom w:val="nil"/>
              <w:right w:val="nil"/>
            </w:tcBorders>
            <w:shd w:val="clear" w:color="auto" w:fill="auto"/>
            <w:noWrap/>
            <w:vAlign w:val="bottom"/>
            <w:hideMark/>
          </w:tcPr>
          <w:p w:rsidR="006C3EF9" w:rsidRPr="00687C99" w:rsidRDefault="006C3EF9" w:rsidP="006C3EF9">
            <w:pPr>
              <w:jc w:val="right"/>
              <w:rPr>
                <w:rFonts w:cs="Arial"/>
                <w:b/>
                <w:bCs/>
                <w:lang w:eastAsia="en-GB"/>
              </w:rPr>
            </w:pPr>
            <w:r w:rsidRPr="00687C99">
              <w:rPr>
                <w:rFonts w:cs="Arial"/>
                <w:b/>
                <w:bCs/>
                <w:color w:val="FF0000"/>
                <w:lang w:eastAsia="en-GB"/>
              </w:rPr>
              <w:t>(7,198)</w:t>
            </w:r>
          </w:p>
        </w:tc>
        <w:tc>
          <w:tcPr>
            <w:tcW w:w="1300" w:type="dxa"/>
            <w:gridSpan w:val="4"/>
            <w:tcBorders>
              <w:top w:val="nil"/>
              <w:left w:val="nil"/>
              <w:bottom w:val="nil"/>
              <w:right w:val="nil"/>
            </w:tcBorders>
            <w:shd w:val="clear" w:color="auto" w:fill="auto"/>
            <w:noWrap/>
            <w:vAlign w:val="bottom"/>
            <w:hideMark/>
          </w:tcPr>
          <w:p w:rsidR="006C3EF9" w:rsidRPr="00687C99" w:rsidRDefault="006C3EF9" w:rsidP="006C3EF9">
            <w:pPr>
              <w:jc w:val="right"/>
              <w:rPr>
                <w:rFonts w:cs="Arial"/>
                <w:b/>
                <w:bCs/>
                <w:lang w:eastAsia="en-GB"/>
              </w:rPr>
            </w:pPr>
            <w:r w:rsidRPr="00687C99">
              <w:rPr>
                <w:rFonts w:cs="Arial"/>
                <w:b/>
                <w:bCs/>
                <w:color w:val="FF0000"/>
                <w:lang w:eastAsia="en-GB"/>
              </w:rPr>
              <w:t>(7,721)</w:t>
            </w:r>
          </w:p>
        </w:tc>
        <w:tc>
          <w:tcPr>
            <w:tcW w:w="1300" w:type="dxa"/>
            <w:gridSpan w:val="3"/>
            <w:tcBorders>
              <w:top w:val="nil"/>
              <w:left w:val="nil"/>
              <w:bottom w:val="nil"/>
              <w:right w:val="single" w:sz="8" w:space="0" w:color="auto"/>
            </w:tcBorders>
            <w:shd w:val="clear" w:color="auto" w:fill="auto"/>
            <w:noWrap/>
            <w:vAlign w:val="bottom"/>
            <w:hideMark/>
          </w:tcPr>
          <w:p w:rsidR="006C3EF9" w:rsidRPr="00687C99" w:rsidRDefault="006C3EF9" w:rsidP="006C3EF9">
            <w:pPr>
              <w:jc w:val="right"/>
              <w:rPr>
                <w:rFonts w:cs="Arial"/>
                <w:b/>
                <w:bCs/>
                <w:lang w:eastAsia="en-GB"/>
              </w:rPr>
            </w:pPr>
            <w:r w:rsidRPr="00687C99">
              <w:rPr>
                <w:rFonts w:cs="Arial"/>
                <w:b/>
                <w:bCs/>
                <w:color w:val="FF0000"/>
                <w:lang w:eastAsia="en-GB"/>
              </w:rPr>
              <w:t>(6,985)</w:t>
            </w:r>
          </w:p>
        </w:tc>
      </w:tr>
      <w:tr w:rsidR="006C3EF9" w:rsidRPr="00687C9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87C99" w:rsidRDefault="006C3EF9" w:rsidP="006C3EF9">
            <w:pPr>
              <w:rPr>
                <w:rFonts w:cs="Arial"/>
                <w:lang w:eastAsia="en-GB"/>
              </w:rPr>
            </w:pPr>
            <w:r w:rsidRPr="00687C99">
              <w:rPr>
                <w:rFonts w:cs="Arial"/>
                <w:lang w:eastAsia="en-GB"/>
              </w:rPr>
              <w:t> </w:t>
            </w:r>
          </w:p>
        </w:tc>
        <w:tc>
          <w:tcPr>
            <w:tcW w:w="1240" w:type="dxa"/>
            <w:gridSpan w:val="4"/>
            <w:tcBorders>
              <w:top w:val="nil"/>
              <w:left w:val="nil"/>
              <w:bottom w:val="nil"/>
              <w:right w:val="nil"/>
            </w:tcBorders>
            <w:shd w:val="clear" w:color="auto" w:fill="auto"/>
            <w:noWrap/>
            <w:vAlign w:val="bottom"/>
            <w:hideMark/>
          </w:tcPr>
          <w:p w:rsidR="006C3EF9" w:rsidRPr="00687C99" w:rsidRDefault="006C3EF9" w:rsidP="006C3EF9">
            <w:pPr>
              <w:rPr>
                <w:rFonts w:cs="Arial"/>
                <w:lang w:eastAsia="en-GB"/>
              </w:rPr>
            </w:pPr>
          </w:p>
        </w:tc>
        <w:tc>
          <w:tcPr>
            <w:tcW w:w="1300" w:type="dxa"/>
            <w:gridSpan w:val="3"/>
            <w:tcBorders>
              <w:top w:val="nil"/>
              <w:left w:val="nil"/>
              <w:bottom w:val="nil"/>
              <w:right w:val="nil"/>
            </w:tcBorders>
            <w:shd w:val="clear" w:color="auto" w:fill="auto"/>
            <w:noWrap/>
            <w:vAlign w:val="bottom"/>
            <w:hideMark/>
          </w:tcPr>
          <w:p w:rsidR="006C3EF9" w:rsidRPr="00687C99" w:rsidRDefault="006C3EF9" w:rsidP="006C3EF9">
            <w:pPr>
              <w:rPr>
                <w:rFonts w:cs="Arial"/>
                <w:lang w:eastAsia="en-GB"/>
              </w:rPr>
            </w:pPr>
          </w:p>
        </w:tc>
        <w:tc>
          <w:tcPr>
            <w:tcW w:w="1300" w:type="dxa"/>
            <w:gridSpan w:val="4"/>
            <w:tcBorders>
              <w:top w:val="nil"/>
              <w:left w:val="nil"/>
              <w:bottom w:val="nil"/>
              <w:right w:val="nil"/>
            </w:tcBorders>
            <w:shd w:val="clear" w:color="auto" w:fill="auto"/>
            <w:noWrap/>
            <w:vAlign w:val="bottom"/>
            <w:hideMark/>
          </w:tcPr>
          <w:p w:rsidR="006C3EF9" w:rsidRPr="00687C99" w:rsidRDefault="006C3EF9" w:rsidP="006C3EF9">
            <w:pPr>
              <w:rPr>
                <w:rFonts w:cs="Arial"/>
                <w:lang w:eastAsia="en-GB"/>
              </w:rPr>
            </w:pPr>
          </w:p>
        </w:tc>
        <w:tc>
          <w:tcPr>
            <w:tcW w:w="1300" w:type="dxa"/>
            <w:gridSpan w:val="3"/>
            <w:tcBorders>
              <w:top w:val="nil"/>
              <w:left w:val="nil"/>
              <w:bottom w:val="nil"/>
              <w:right w:val="single" w:sz="8" w:space="0" w:color="auto"/>
            </w:tcBorders>
            <w:shd w:val="clear" w:color="auto" w:fill="auto"/>
            <w:noWrap/>
            <w:vAlign w:val="bottom"/>
            <w:hideMark/>
          </w:tcPr>
          <w:p w:rsidR="006C3EF9" w:rsidRPr="00687C99" w:rsidRDefault="006C3EF9" w:rsidP="006C3EF9">
            <w:pPr>
              <w:rPr>
                <w:rFonts w:cs="Arial"/>
                <w:lang w:eastAsia="en-GB"/>
              </w:rPr>
            </w:pPr>
            <w:r w:rsidRPr="00687C99">
              <w:rPr>
                <w:rFonts w:cs="Arial"/>
                <w:lang w:eastAsia="en-GB"/>
              </w:rPr>
              <w:t> </w:t>
            </w:r>
          </w:p>
        </w:tc>
      </w:tr>
      <w:tr w:rsidR="006C3EF9" w:rsidRPr="00687C9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87C99" w:rsidRDefault="006C3EF9" w:rsidP="006C3EF9">
            <w:pPr>
              <w:rPr>
                <w:rFonts w:cs="Arial"/>
                <w:lang w:eastAsia="en-GB"/>
              </w:rPr>
            </w:pPr>
            <w:r w:rsidRPr="00687C99">
              <w:rPr>
                <w:rFonts w:cs="Arial"/>
                <w:lang w:eastAsia="en-GB"/>
              </w:rPr>
              <w:t>Transfer (to)/from Major Repairs/Other Reserves</w:t>
            </w:r>
          </w:p>
        </w:tc>
        <w:tc>
          <w:tcPr>
            <w:tcW w:w="1240" w:type="dxa"/>
            <w:gridSpan w:val="4"/>
            <w:tcBorders>
              <w:top w:val="nil"/>
              <w:left w:val="nil"/>
              <w:bottom w:val="nil"/>
              <w:right w:val="nil"/>
            </w:tcBorders>
            <w:shd w:val="clear" w:color="auto" w:fill="auto"/>
            <w:noWrap/>
            <w:vAlign w:val="bottom"/>
            <w:hideMark/>
          </w:tcPr>
          <w:p w:rsidR="006C3EF9" w:rsidRPr="00687C99" w:rsidRDefault="006C3EF9" w:rsidP="006C3EF9">
            <w:pPr>
              <w:jc w:val="right"/>
              <w:rPr>
                <w:rFonts w:cs="Arial"/>
                <w:lang w:eastAsia="en-GB"/>
              </w:rPr>
            </w:pPr>
            <w:r w:rsidRPr="00687C99">
              <w:rPr>
                <w:rFonts w:cs="Arial"/>
                <w:lang w:eastAsia="en-GB"/>
              </w:rPr>
              <w:t>2,775</w:t>
            </w:r>
          </w:p>
        </w:tc>
        <w:tc>
          <w:tcPr>
            <w:tcW w:w="1300" w:type="dxa"/>
            <w:gridSpan w:val="3"/>
            <w:tcBorders>
              <w:top w:val="nil"/>
              <w:left w:val="nil"/>
              <w:bottom w:val="nil"/>
              <w:right w:val="nil"/>
            </w:tcBorders>
            <w:shd w:val="clear" w:color="auto" w:fill="auto"/>
            <w:noWrap/>
            <w:vAlign w:val="bottom"/>
            <w:hideMark/>
          </w:tcPr>
          <w:p w:rsidR="006C3EF9" w:rsidRPr="00687C99" w:rsidRDefault="006C3EF9" w:rsidP="006C3EF9">
            <w:pPr>
              <w:rPr>
                <w:rFonts w:cs="Arial"/>
                <w:lang w:eastAsia="en-GB"/>
              </w:rPr>
            </w:pPr>
          </w:p>
        </w:tc>
        <w:tc>
          <w:tcPr>
            <w:tcW w:w="1300" w:type="dxa"/>
            <w:gridSpan w:val="4"/>
            <w:tcBorders>
              <w:top w:val="nil"/>
              <w:left w:val="nil"/>
              <w:bottom w:val="nil"/>
              <w:right w:val="nil"/>
            </w:tcBorders>
            <w:shd w:val="clear" w:color="auto" w:fill="auto"/>
            <w:noWrap/>
            <w:vAlign w:val="bottom"/>
            <w:hideMark/>
          </w:tcPr>
          <w:p w:rsidR="006C3EF9" w:rsidRPr="00687C99" w:rsidRDefault="006C3EF9" w:rsidP="006C3EF9">
            <w:pPr>
              <w:rPr>
                <w:rFonts w:cs="Arial"/>
                <w:lang w:eastAsia="en-GB"/>
              </w:rPr>
            </w:pPr>
          </w:p>
        </w:tc>
        <w:tc>
          <w:tcPr>
            <w:tcW w:w="1300" w:type="dxa"/>
            <w:gridSpan w:val="3"/>
            <w:tcBorders>
              <w:top w:val="nil"/>
              <w:left w:val="nil"/>
              <w:bottom w:val="nil"/>
              <w:right w:val="single" w:sz="8" w:space="0" w:color="auto"/>
            </w:tcBorders>
            <w:shd w:val="clear" w:color="auto" w:fill="auto"/>
            <w:noWrap/>
            <w:vAlign w:val="bottom"/>
            <w:hideMark/>
          </w:tcPr>
          <w:p w:rsidR="006C3EF9" w:rsidRPr="00687C99" w:rsidRDefault="006C3EF9" w:rsidP="006C3EF9">
            <w:pPr>
              <w:rPr>
                <w:rFonts w:cs="Arial"/>
                <w:lang w:eastAsia="en-GB"/>
              </w:rPr>
            </w:pPr>
            <w:r w:rsidRPr="00687C99">
              <w:rPr>
                <w:rFonts w:cs="Arial"/>
                <w:lang w:eastAsia="en-GB"/>
              </w:rPr>
              <w:t> </w:t>
            </w:r>
          </w:p>
        </w:tc>
      </w:tr>
      <w:tr w:rsidR="006C3EF9" w:rsidRPr="00687C9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87C99" w:rsidRDefault="006C3EF9" w:rsidP="006C3EF9">
            <w:pPr>
              <w:rPr>
                <w:rFonts w:cs="Arial"/>
                <w:lang w:eastAsia="en-GB"/>
              </w:rPr>
            </w:pPr>
            <w:r w:rsidRPr="00687C99">
              <w:rPr>
                <w:rFonts w:cs="Arial"/>
                <w:lang w:eastAsia="en-GB"/>
              </w:rPr>
              <w:t>Revenue Contributions towards Capital</w:t>
            </w:r>
          </w:p>
        </w:tc>
        <w:tc>
          <w:tcPr>
            <w:tcW w:w="1240" w:type="dxa"/>
            <w:gridSpan w:val="4"/>
            <w:tcBorders>
              <w:top w:val="nil"/>
              <w:left w:val="nil"/>
              <w:bottom w:val="nil"/>
              <w:right w:val="nil"/>
            </w:tcBorders>
            <w:shd w:val="clear" w:color="auto" w:fill="auto"/>
            <w:noWrap/>
            <w:vAlign w:val="bottom"/>
            <w:hideMark/>
          </w:tcPr>
          <w:p w:rsidR="006C3EF9" w:rsidRPr="00687C99" w:rsidRDefault="006C3EF9" w:rsidP="006C3EF9">
            <w:pPr>
              <w:jc w:val="right"/>
              <w:rPr>
                <w:rFonts w:cs="Arial"/>
                <w:lang w:eastAsia="en-GB"/>
              </w:rPr>
            </w:pPr>
            <w:r w:rsidRPr="00687C99">
              <w:rPr>
                <w:rFonts w:cs="Arial"/>
                <w:lang w:eastAsia="en-GB"/>
              </w:rPr>
              <w:t>0</w:t>
            </w:r>
          </w:p>
        </w:tc>
        <w:tc>
          <w:tcPr>
            <w:tcW w:w="1300" w:type="dxa"/>
            <w:gridSpan w:val="3"/>
            <w:tcBorders>
              <w:top w:val="nil"/>
              <w:left w:val="nil"/>
              <w:bottom w:val="nil"/>
              <w:right w:val="nil"/>
            </w:tcBorders>
            <w:shd w:val="clear" w:color="auto" w:fill="auto"/>
            <w:noWrap/>
            <w:vAlign w:val="bottom"/>
            <w:hideMark/>
          </w:tcPr>
          <w:p w:rsidR="006C3EF9" w:rsidRPr="00687C99" w:rsidRDefault="006C3EF9" w:rsidP="006C3EF9">
            <w:pPr>
              <w:jc w:val="right"/>
              <w:rPr>
                <w:rFonts w:cs="Arial"/>
                <w:lang w:eastAsia="en-GB"/>
              </w:rPr>
            </w:pPr>
            <w:r w:rsidRPr="00687C99">
              <w:rPr>
                <w:rFonts w:cs="Arial"/>
                <w:lang w:eastAsia="en-GB"/>
              </w:rPr>
              <w:t>9,363</w:t>
            </w:r>
          </w:p>
        </w:tc>
        <w:tc>
          <w:tcPr>
            <w:tcW w:w="1300" w:type="dxa"/>
            <w:gridSpan w:val="4"/>
            <w:tcBorders>
              <w:top w:val="nil"/>
              <w:left w:val="nil"/>
              <w:bottom w:val="nil"/>
              <w:right w:val="nil"/>
            </w:tcBorders>
            <w:shd w:val="clear" w:color="auto" w:fill="auto"/>
            <w:noWrap/>
            <w:vAlign w:val="bottom"/>
            <w:hideMark/>
          </w:tcPr>
          <w:p w:rsidR="006C3EF9" w:rsidRPr="00687C99" w:rsidRDefault="006C3EF9" w:rsidP="006C3EF9">
            <w:pPr>
              <w:jc w:val="right"/>
              <w:rPr>
                <w:rFonts w:cs="Arial"/>
                <w:lang w:eastAsia="en-GB"/>
              </w:rPr>
            </w:pPr>
            <w:r w:rsidRPr="00687C99">
              <w:rPr>
                <w:rFonts w:cs="Arial"/>
                <w:lang w:eastAsia="en-GB"/>
              </w:rPr>
              <w:t>9,549</w:t>
            </w:r>
          </w:p>
        </w:tc>
        <w:tc>
          <w:tcPr>
            <w:tcW w:w="1300" w:type="dxa"/>
            <w:gridSpan w:val="3"/>
            <w:tcBorders>
              <w:top w:val="nil"/>
              <w:left w:val="nil"/>
              <w:bottom w:val="nil"/>
              <w:right w:val="single" w:sz="8" w:space="0" w:color="auto"/>
            </w:tcBorders>
            <w:shd w:val="clear" w:color="auto" w:fill="auto"/>
            <w:noWrap/>
            <w:vAlign w:val="bottom"/>
            <w:hideMark/>
          </w:tcPr>
          <w:p w:rsidR="006C3EF9" w:rsidRPr="00687C99" w:rsidRDefault="006C3EF9" w:rsidP="006C3EF9">
            <w:pPr>
              <w:jc w:val="right"/>
              <w:rPr>
                <w:rFonts w:cs="Arial"/>
                <w:lang w:eastAsia="en-GB"/>
              </w:rPr>
            </w:pPr>
            <w:r w:rsidRPr="00687C99">
              <w:rPr>
                <w:rFonts w:cs="Arial"/>
                <w:lang w:eastAsia="en-GB"/>
              </w:rPr>
              <w:t>8,825</w:t>
            </w:r>
          </w:p>
        </w:tc>
      </w:tr>
      <w:tr w:rsidR="006C3EF9" w:rsidRPr="00687C9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87C99" w:rsidRDefault="006C3EF9" w:rsidP="006C3EF9">
            <w:pPr>
              <w:rPr>
                <w:rFonts w:cs="Arial"/>
                <w:lang w:eastAsia="en-GB"/>
              </w:rPr>
            </w:pPr>
            <w:r w:rsidRPr="00687C99">
              <w:rPr>
                <w:rFonts w:cs="Arial"/>
                <w:lang w:eastAsia="en-GB"/>
              </w:rPr>
              <w:t> </w:t>
            </w:r>
          </w:p>
        </w:tc>
        <w:tc>
          <w:tcPr>
            <w:tcW w:w="1240" w:type="dxa"/>
            <w:gridSpan w:val="4"/>
            <w:tcBorders>
              <w:top w:val="nil"/>
              <w:left w:val="nil"/>
              <w:bottom w:val="nil"/>
              <w:right w:val="nil"/>
            </w:tcBorders>
            <w:shd w:val="clear" w:color="auto" w:fill="auto"/>
            <w:noWrap/>
            <w:vAlign w:val="bottom"/>
            <w:hideMark/>
          </w:tcPr>
          <w:p w:rsidR="006C3EF9" w:rsidRPr="00687C99" w:rsidRDefault="006C3EF9" w:rsidP="006C3EF9">
            <w:pPr>
              <w:rPr>
                <w:rFonts w:cs="Arial"/>
                <w:lang w:eastAsia="en-GB"/>
              </w:rPr>
            </w:pPr>
          </w:p>
        </w:tc>
        <w:tc>
          <w:tcPr>
            <w:tcW w:w="1300" w:type="dxa"/>
            <w:gridSpan w:val="3"/>
            <w:tcBorders>
              <w:top w:val="nil"/>
              <w:left w:val="nil"/>
              <w:bottom w:val="nil"/>
              <w:right w:val="nil"/>
            </w:tcBorders>
            <w:shd w:val="clear" w:color="auto" w:fill="auto"/>
            <w:noWrap/>
            <w:vAlign w:val="bottom"/>
            <w:hideMark/>
          </w:tcPr>
          <w:p w:rsidR="006C3EF9" w:rsidRPr="00687C99" w:rsidRDefault="006C3EF9" w:rsidP="006C3EF9">
            <w:pPr>
              <w:rPr>
                <w:rFonts w:cs="Arial"/>
                <w:lang w:eastAsia="en-GB"/>
              </w:rPr>
            </w:pPr>
          </w:p>
        </w:tc>
        <w:tc>
          <w:tcPr>
            <w:tcW w:w="1300" w:type="dxa"/>
            <w:gridSpan w:val="4"/>
            <w:tcBorders>
              <w:top w:val="nil"/>
              <w:left w:val="nil"/>
              <w:bottom w:val="nil"/>
              <w:right w:val="nil"/>
            </w:tcBorders>
            <w:shd w:val="clear" w:color="auto" w:fill="auto"/>
            <w:noWrap/>
            <w:vAlign w:val="bottom"/>
            <w:hideMark/>
          </w:tcPr>
          <w:p w:rsidR="006C3EF9" w:rsidRPr="00687C99" w:rsidRDefault="006C3EF9" w:rsidP="006C3EF9">
            <w:pPr>
              <w:rPr>
                <w:rFonts w:cs="Arial"/>
                <w:lang w:eastAsia="en-GB"/>
              </w:rPr>
            </w:pPr>
          </w:p>
        </w:tc>
        <w:tc>
          <w:tcPr>
            <w:tcW w:w="1300" w:type="dxa"/>
            <w:gridSpan w:val="3"/>
            <w:tcBorders>
              <w:top w:val="nil"/>
              <w:left w:val="nil"/>
              <w:bottom w:val="nil"/>
              <w:right w:val="single" w:sz="8" w:space="0" w:color="auto"/>
            </w:tcBorders>
            <w:shd w:val="clear" w:color="auto" w:fill="auto"/>
            <w:noWrap/>
            <w:vAlign w:val="bottom"/>
            <w:hideMark/>
          </w:tcPr>
          <w:p w:rsidR="006C3EF9" w:rsidRPr="00687C99" w:rsidRDefault="006C3EF9" w:rsidP="006C3EF9">
            <w:pPr>
              <w:rPr>
                <w:rFonts w:cs="Arial"/>
                <w:lang w:eastAsia="en-GB"/>
              </w:rPr>
            </w:pPr>
            <w:r w:rsidRPr="00687C99">
              <w:rPr>
                <w:rFonts w:cs="Arial"/>
                <w:lang w:eastAsia="en-GB"/>
              </w:rPr>
              <w:t> </w:t>
            </w:r>
          </w:p>
        </w:tc>
      </w:tr>
      <w:tr w:rsidR="006C3EF9" w:rsidRPr="00687C9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87C99" w:rsidRDefault="006C3EF9" w:rsidP="006C3EF9">
            <w:pPr>
              <w:rPr>
                <w:rFonts w:cs="Arial"/>
                <w:b/>
                <w:bCs/>
                <w:lang w:eastAsia="en-GB"/>
              </w:rPr>
            </w:pPr>
            <w:r w:rsidRPr="00687C99">
              <w:rPr>
                <w:rFonts w:cs="Arial"/>
                <w:b/>
                <w:bCs/>
                <w:lang w:eastAsia="en-GB"/>
              </w:rPr>
              <w:t>(Surplus)/Deficit for the Year</w:t>
            </w:r>
          </w:p>
        </w:tc>
        <w:tc>
          <w:tcPr>
            <w:tcW w:w="1240" w:type="dxa"/>
            <w:gridSpan w:val="4"/>
            <w:tcBorders>
              <w:top w:val="nil"/>
              <w:left w:val="nil"/>
              <w:bottom w:val="nil"/>
              <w:right w:val="nil"/>
            </w:tcBorders>
            <w:shd w:val="clear" w:color="auto" w:fill="auto"/>
            <w:noWrap/>
            <w:vAlign w:val="bottom"/>
            <w:hideMark/>
          </w:tcPr>
          <w:p w:rsidR="006C3EF9" w:rsidRPr="00687C99" w:rsidRDefault="006C3EF9" w:rsidP="006C3EF9">
            <w:pPr>
              <w:jc w:val="right"/>
              <w:rPr>
                <w:rFonts w:cs="Arial"/>
                <w:b/>
                <w:bCs/>
                <w:lang w:eastAsia="en-GB"/>
              </w:rPr>
            </w:pPr>
            <w:r w:rsidRPr="00687C99">
              <w:rPr>
                <w:rFonts w:cs="Arial"/>
                <w:b/>
                <w:bCs/>
                <w:color w:val="FF0000"/>
                <w:lang w:eastAsia="en-GB"/>
              </w:rPr>
              <w:t>(5,543)</w:t>
            </w:r>
          </w:p>
        </w:tc>
        <w:tc>
          <w:tcPr>
            <w:tcW w:w="1300" w:type="dxa"/>
            <w:gridSpan w:val="3"/>
            <w:tcBorders>
              <w:top w:val="nil"/>
              <w:left w:val="nil"/>
              <w:bottom w:val="nil"/>
              <w:right w:val="nil"/>
            </w:tcBorders>
            <w:shd w:val="clear" w:color="auto" w:fill="auto"/>
            <w:noWrap/>
            <w:vAlign w:val="bottom"/>
            <w:hideMark/>
          </w:tcPr>
          <w:p w:rsidR="006C3EF9" w:rsidRPr="00687C99" w:rsidRDefault="006C3EF9" w:rsidP="006C3EF9">
            <w:pPr>
              <w:jc w:val="right"/>
              <w:rPr>
                <w:rFonts w:cs="Arial"/>
                <w:b/>
                <w:bCs/>
                <w:lang w:eastAsia="en-GB"/>
              </w:rPr>
            </w:pPr>
            <w:r w:rsidRPr="00687C99">
              <w:rPr>
                <w:rFonts w:cs="Arial"/>
                <w:b/>
                <w:bCs/>
                <w:lang w:eastAsia="en-GB"/>
              </w:rPr>
              <w:t>2,165</w:t>
            </w:r>
          </w:p>
        </w:tc>
        <w:tc>
          <w:tcPr>
            <w:tcW w:w="1300" w:type="dxa"/>
            <w:gridSpan w:val="4"/>
            <w:tcBorders>
              <w:top w:val="nil"/>
              <w:left w:val="nil"/>
              <w:bottom w:val="nil"/>
              <w:right w:val="nil"/>
            </w:tcBorders>
            <w:shd w:val="clear" w:color="auto" w:fill="auto"/>
            <w:noWrap/>
            <w:vAlign w:val="bottom"/>
            <w:hideMark/>
          </w:tcPr>
          <w:p w:rsidR="006C3EF9" w:rsidRPr="00687C99" w:rsidRDefault="006C3EF9" w:rsidP="006C3EF9">
            <w:pPr>
              <w:jc w:val="right"/>
              <w:rPr>
                <w:rFonts w:cs="Arial"/>
                <w:b/>
                <w:bCs/>
                <w:lang w:eastAsia="en-GB"/>
              </w:rPr>
            </w:pPr>
            <w:r w:rsidRPr="00687C99">
              <w:rPr>
                <w:rFonts w:cs="Arial"/>
                <w:b/>
                <w:bCs/>
                <w:lang w:eastAsia="en-GB"/>
              </w:rPr>
              <w:t>1,828</w:t>
            </w:r>
          </w:p>
        </w:tc>
        <w:tc>
          <w:tcPr>
            <w:tcW w:w="1300" w:type="dxa"/>
            <w:gridSpan w:val="3"/>
            <w:tcBorders>
              <w:top w:val="nil"/>
              <w:left w:val="nil"/>
              <w:bottom w:val="nil"/>
              <w:right w:val="single" w:sz="8" w:space="0" w:color="auto"/>
            </w:tcBorders>
            <w:shd w:val="clear" w:color="auto" w:fill="auto"/>
            <w:noWrap/>
            <w:vAlign w:val="bottom"/>
            <w:hideMark/>
          </w:tcPr>
          <w:p w:rsidR="006C3EF9" w:rsidRPr="00687C99" w:rsidRDefault="006C3EF9" w:rsidP="006C3EF9">
            <w:pPr>
              <w:jc w:val="right"/>
              <w:rPr>
                <w:rFonts w:cs="Arial"/>
                <w:b/>
                <w:bCs/>
                <w:lang w:eastAsia="en-GB"/>
              </w:rPr>
            </w:pPr>
            <w:r w:rsidRPr="00687C99">
              <w:rPr>
                <w:rFonts w:cs="Arial"/>
                <w:b/>
                <w:bCs/>
                <w:lang w:eastAsia="en-GB"/>
              </w:rPr>
              <w:t>1,840</w:t>
            </w:r>
          </w:p>
        </w:tc>
      </w:tr>
      <w:tr w:rsidR="006C3EF9" w:rsidRPr="00687C9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87C99" w:rsidRDefault="006C3EF9" w:rsidP="006C3EF9">
            <w:pPr>
              <w:rPr>
                <w:rFonts w:cs="Arial"/>
                <w:lang w:eastAsia="en-GB"/>
              </w:rPr>
            </w:pPr>
            <w:r w:rsidRPr="00687C99">
              <w:rPr>
                <w:rFonts w:cs="Arial"/>
                <w:lang w:eastAsia="en-GB"/>
              </w:rPr>
              <w:t> </w:t>
            </w:r>
          </w:p>
        </w:tc>
        <w:tc>
          <w:tcPr>
            <w:tcW w:w="1240" w:type="dxa"/>
            <w:gridSpan w:val="4"/>
            <w:tcBorders>
              <w:top w:val="nil"/>
              <w:left w:val="nil"/>
              <w:bottom w:val="nil"/>
              <w:right w:val="nil"/>
            </w:tcBorders>
            <w:shd w:val="clear" w:color="auto" w:fill="auto"/>
            <w:noWrap/>
            <w:vAlign w:val="bottom"/>
            <w:hideMark/>
          </w:tcPr>
          <w:p w:rsidR="006C3EF9" w:rsidRPr="00687C99" w:rsidRDefault="006C3EF9" w:rsidP="006C3EF9">
            <w:pPr>
              <w:rPr>
                <w:rFonts w:cs="Arial"/>
                <w:lang w:eastAsia="en-GB"/>
              </w:rPr>
            </w:pPr>
          </w:p>
        </w:tc>
        <w:tc>
          <w:tcPr>
            <w:tcW w:w="1300" w:type="dxa"/>
            <w:gridSpan w:val="3"/>
            <w:tcBorders>
              <w:top w:val="nil"/>
              <w:left w:val="nil"/>
              <w:bottom w:val="nil"/>
              <w:right w:val="nil"/>
            </w:tcBorders>
            <w:shd w:val="clear" w:color="auto" w:fill="auto"/>
            <w:noWrap/>
            <w:vAlign w:val="bottom"/>
            <w:hideMark/>
          </w:tcPr>
          <w:p w:rsidR="006C3EF9" w:rsidRPr="00687C99" w:rsidRDefault="006C3EF9" w:rsidP="006C3EF9">
            <w:pPr>
              <w:rPr>
                <w:rFonts w:cs="Arial"/>
                <w:lang w:eastAsia="en-GB"/>
              </w:rPr>
            </w:pPr>
          </w:p>
        </w:tc>
        <w:tc>
          <w:tcPr>
            <w:tcW w:w="1300" w:type="dxa"/>
            <w:gridSpan w:val="4"/>
            <w:tcBorders>
              <w:top w:val="nil"/>
              <w:left w:val="nil"/>
              <w:bottom w:val="nil"/>
              <w:right w:val="nil"/>
            </w:tcBorders>
            <w:shd w:val="clear" w:color="auto" w:fill="auto"/>
            <w:noWrap/>
            <w:vAlign w:val="bottom"/>
            <w:hideMark/>
          </w:tcPr>
          <w:p w:rsidR="006C3EF9" w:rsidRPr="00687C99" w:rsidRDefault="006C3EF9" w:rsidP="006C3EF9">
            <w:pPr>
              <w:rPr>
                <w:rFonts w:cs="Arial"/>
                <w:lang w:eastAsia="en-GB"/>
              </w:rPr>
            </w:pPr>
          </w:p>
        </w:tc>
        <w:tc>
          <w:tcPr>
            <w:tcW w:w="1300" w:type="dxa"/>
            <w:gridSpan w:val="3"/>
            <w:tcBorders>
              <w:top w:val="nil"/>
              <w:left w:val="nil"/>
              <w:bottom w:val="nil"/>
              <w:right w:val="single" w:sz="8" w:space="0" w:color="auto"/>
            </w:tcBorders>
            <w:shd w:val="clear" w:color="auto" w:fill="auto"/>
            <w:noWrap/>
            <w:vAlign w:val="bottom"/>
            <w:hideMark/>
          </w:tcPr>
          <w:p w:rsidR="006C3EF9" w:rsidRPr="00687C99" w:rsidRDefault="006C3EF9" w:rsidP="006C3EF9">
            <w:pPr>
              <w:rPr>
                <w:rFonts w:cs="Arial"/>
                <w:lang w:eastAsia="en-GB"/>
              </w:rPr>
            </w:pPr>
            <w:r w:rsidRPr="00687C99">
              <w:rPr>
                <w:rFonts w:cs="Arial"/>
                <w:lang w:eastAsia="en-GB"/>
              </w:rPr>
              <w:t> </w:t>
            </w:r>
          </w:p>
        </w:tc>
      </w:tr>
      <w:tr w:rsidR="006C3EF9" w:rsidRPr="00687C9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87C99" w:rsidRDefault="006C3EF9" w:rsidP="006C3EF9">
            <w:pPr>
              <w:rPr>
                <w:rFonts w:cs="Arial"/>
                <w:b/>
                <w:bCs/>
                <w:lang w:eastAsia="en-GB"/>
              </w:rPr>
            </w:pPr>
            <w:r w:rsidRPr="00687C99">
              <w:rPr>
                <w:rFonts w:cs="Arial"/>
                <w:b/>
                <w:bCs/>
                <w:lang w:eastAsia="en-GB"/>
              </w:rPr>
              <w:t>(Surplus)/Deficit b/fwd</w:t>
            </w:r>
          </w:p>
        </w:tc>
        <w:tc>
          <w:tcPr>
            <w:tcW w:w="1240" w:type="dxa"/>
            <w:gridSpan w:val="4"/>
            <w:tcBorders>
              <w:top w:val="nil"/>
              <w:left w:val="nil"/>
              <w:bottom w:val="nil"/>
              <w:right w:val="nil"/>
            </w:tcBorders>
            <w:shd w:val="clear" w:color="auto" w:fill="auto"/>
            <w:noWrap/>
            <w:vAlign w:val="bottom"/>
            <w:hideMark/>
          </w:tcPr>
          <w:p w:rsidR="006C3EF9" w:rsidRPr="00687C99" w:rsidRDefault="006C3EF9" w:rsidP="006C3EF9">
            <w:pPr>
              <w:jc w:val="right"/>
              <w:rPr>
                <w:rFonts w:cs="Arial"/>
                <w:b/>
                <w:bCs/>
                <w:lang w:eastAsia="en-GB"/>
              </w:rPr>
            </w:pPr>
            <w:r w:rsidRPr="00687C99">
              <w:rPr>
                <w:rFonts w:cs="Arial"/>
                <w:b/>
                <w:bCs/>
                <w:color w:val="FF0000"/>
                <w:lang w:eastAsia="en-GB"/>
              </w:rPr>
              <w:t>(5,537)</w:t>
            </w:r>
          </w:p>
        </w:tc>
        <w:tc>
          <w:tcPr>
            <w:tcW w:w="1300" w:type="dxa"/>
            <w:gridSpan w:val="3"/>
            <w:tcBorders>
              <w:top w:val="nil"/>
              <w:left w:val="nil"/>
              <w:bottom w:val="nil"/>
              <w:right w:val="nil"/>
            </w:tcBorders>
            <w:shd w:val="clear" w:color="auto" w:fill="auto"/>
            <w:noWrap/>
            <w:vAlign w:val="bottom"/>
            <w:hideMark/>
          </w:tcPr>
          <w:p w:rsidR="006C3EF9" w:rsidRPr="00687C99" w:rsidRDefault="006C3EF9" w:rsidP="006C3EF9">
            <w:pPr>
              <w:jc w:val="right"/>
              <w:rPr>
                <w:rFonts w:cs="Arial"/>
                <w:b/>
                <w:bCs/>
                <w:lang w:eastAsia="en-GB"/>
              </w:rPr>
            </w:pPr>
            <w:r w:rsidRPr="00687C99">
              <w:rPr>
                <w:rFonts w:cs="Arial"/>
                <w:b/>
                <w:bCs/>
                <w:color w:val="FF0000"/>
                <w:lang w:eastAsia="en-GB"/>
              </w:rPr>
              <w:t>(11,156)</w:t>
            </w:r>
          </w:p>
        </w:tc>
        <w:tc>
          <w:tcPr>
            <w:tcW w:w="1300" w:type="dxa"/>
            <w:gridSpan w:val="4"/>
            <w:tcBorders>
              <w:top w:val="nil"/>
              <w:left w:val="nil"/>
              <w:bottom w:val="nil"/>
              <w:right w:val="nil"/>
            </w:tcBorders>
            <w:shd w:val="clear" w:color="auto" w:fill="auto"/>
            <w:noWrap/>
            <w:vAlign w:val="bottom"/>
            <w:hideMark/>
          </w:tcPr>
          <w:p w:rsidR="006C3EF9" w:rsidRPr="00687C99" w:rsidRDefault="006C3EF9" w:rsidP="006C3EF9">
            <w:pPr>
              <w:jc w:val="right"/>
              <w:rPr>
                <w:rFonts w:cs="Arial"/>
                <w:b/>
                <w:bCs/>
                <w:lang w:eastAsia="en-GB"/>
              </w:rPr>
            </w:pPr>
            <w:r w:rsidRPr="00687C99">
              <w:rPr>
                <w:rFonts w:cs="Arial"/>
                <w:b/>
                <w:bCs/>
                <w:color w:val="FF0000"/>
                <w:lang w:eastAsia="en-GB"/>
              </w:rPr>
              <w:t>(9,050)</w:t>
            </w:r>
          </w:p>
        </w:tc>
        <w:tc>
          <w:tcPr>
            <w:tcW w:w="1300" w:type="dxa"/>
            <w:gridSpan w:val="3"/>
            <w:tcBorders>
              <w:top w:val="nil"/>
              <w:left w:val="nil"/>
              <w:bottom w:val="nil"/>
              <w:right w:val="single" w:sz="8" w:space="0" w:color="auto"/>
            </w:tcBorders>
            <w:shd w:val="clear" w:color="auto" w:fill="auto"/>
            <w:noWrap/>
            <w:vAlign w:val="bottom"/>
            <w:hideMark/>
          </w:tcPr>
          <w:p w:rsidR="006C3EF9" w:rsidRPr="00687C99" w:rsidRDefault="006C3EF9" w:rsidP="006C3EF9">
            <w:pPr>
              <w:jc w:val="right"/>
              <w:rPr>
                <w:rFonts w:cs="Arial"/>
                <w:b/>
                <w:bCs/>
                <w:lang w:eastAsia="en-GB"/>
              </w:rPr>
            </w:pPr>
            <w:r w:rsidRPr="00687C99">
              <w:rPr>
                <w:rFonts w:cs="Arial"/>
                <w:b/>
                <w:bCs/>
                <w:color w:val="FF0000"/>
                <w:lang w:eastAsia="en-GB"/>
              </w:rPr>
              <w:t>(7,281)</w:t>
            </w:r>
          </w:p>
        </w:tc>
      </w:tr>
      <w:tr w:rsidR="006C3EF9" w:rsidRPr="00687C9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87C99" w:rsidRDefault="006C3EF9" w:rsidP="006C3EF9">
            <w:pPr>
              <w:rPr>
                <w:rFonts w:cs="Arial"/>
                <w:lang w:eastAsia="en-GB"/>
              </w:rPr>
            </w:pPr>
            <w:r w:rsidRPr="00687C99">
              <w:rPr>
                <w:rFonts w:cs="Arial"/>
                <w:lang w:eastAsia="en-GB"/>
              </w:rPr>
              <w:t> </w:t>
            </w:r>
          </w:p>
        </w:tc>
        <w:tc>
          <w:tcPr>
            <w:tcW w:w="1240" w:type="dxa"/>
            <w:gridSpan w:val="4"/>
            <w:tcBorders>
              <w:top w:val="nil"/>
              <w:left w:val="nil"/>
              <w:bottom w:val="nil"/>
              <w:right w:val="nil"/>
            </w:tcBorders>
            <w:shd w:val="clear" w:color="auto" w:fill="auto"/>
            <w:noWrap/>
            <w:vAlign w:val="bottom"/>
            <w:hideMark/>
          </w:tcPr>
          <w:p w:rsidR="006C3EF9" w:rsidRPr="00687C99" w:rsidRDefault="006C3EF9" w:rsidP="006C3EF9">
            <w:pPr>
              <w:rPr>
                <w:rFonts w:cs="Arial"/>
                <w:lang w:eastAsia="en-GB"/>
              </w:rPr>
            </w:pPr>
          </w:p>
        </w:tc>
        <w:tc>
          <w:tcPr>
            <w:tcW w:w="1300" w:type="dxa"/>
            <w:gridSpan w:val="3"/>
            <w:tcBorders>
              <w:top w:val="nil"/>
              <w:left w:val="nil"/>
              <w:bottom w:val="nil"/>
              <w:right w:val="nil"/>
            </w:tcBorders>
            <w:shd w:val="clear" w:color="auto" w:fill="auto"/>
            <w:noWrap/>
            <w:vAlign w:val="bottom"/>
            <w:hideMark/>
          </w:tcPr>
          <w:p w:rsidR="006C3EF9" w:rsidRPr="00687C99" w:rsidRDefault="006C3EF9" w:rsidP="006C3EF9">
            <w:pPr>
              <w:rPr>
                <w:rFonts w:cs="Arial"/>
                <w:lang w:eastAsia="en-GB"/>
              </w:rPr>
            </w:pPr>
          </w:p>
        </w:tc>
        <w:tc>
          <w:tcPr>
            <w:tcW w:w="1300" w:type="dxa"/>
            <w:gridSpan w:val="4"/>
            <w:tcBorders>
              <w:top w:val="nil"/>
              <w:left w:val="nil"/>
              <w:bottom w:val="nil"/>
              <w:right w:val="nil"/>
            </w:tcBorders>
            <w:shd w:val="clear" w:color="auto" w:fill="auto"/>
            <w:noWrap/>
            <w:vAlign w:val="bottom"/>
            <w:hideMark/>
          </w:tcPr>
          <w:p w:rsidR="006C3EF9" w:rsidRPr="00687C99" w:rsidRDefault="006C3EF9" w:rsidP="006C3EF9">
            <w:pPr>
              <w:rPr>
                <w:rFonts w:cs="Arial"/>
                <w:lang w:eastAsia="en-GB"/>
              </w:rPr>
            </w:pPr>
          </w:p>
        </w:tc>
        <w:tc>
          <w:tcPr>
            <w:tcW w:w="1300" w:type="dxa"/>
            <w:gridSpan w:val="3"/>
            <w:tcBorders>
              <w:top w:val="nil"/>
              <w:left w:val="nil"/>
              <w:bottom w:val="nil"/>
              <w:right w:val="single" w:sz="8" w:space="0" w:color="auto"/>
            </w:tcBorders>
            <w:shd w:val="clear" w:color="auto" w:fill="auto"/>
            <w:noWrap/>
            <w:vAlign w:val="bottom"/>
            <w:hideMark/>
          </w:tcPr>
          <w:p w:rsidR="006C3EF9" w:rsidRPr="00687C99" w:rsidRDefault="006C3EF9" w:rsidP="006C3EF9">
            <w:pPr>
              <w:rPr>
                <w:rFonts w:cs="Arial"/>
                <w:lang w:eastAsia="en-GB"/>
              </w:rPr>
            </w:pPr>
            <w:r w:rsidRPr="00687C99">
              <w:rPr>
                <w:rFonts w:cs="Arial"/>
                <w:lang w:eastAsia="en-GB"/>
              </w:rPr>
              <w:t> </w:t>
            </w:r>
          </w:p>
        </w:tc>
      </w:tr>
      <w:tr w:rsidR="006C3EF9" w:rsidRPr="00687C9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87C99" w:rsidRDefault="006C3EF9" w:rsidP="006C3EF9">
            <w:pPr>
              <w:rPr>
                <w:rFonts w:cs="Arial"/>
                <w:lang w:eastAsia="en-GB"/>
              </w:rPr>
            </w:pPr>
            <w:r w:rsidRPr="00687C99">
              <w:rPr>
                <w:rFonts w:cs="Arial"/>
                <w:lang w:eastAsia="en-GB"/>
              </w:rPr>
              <w:t>Investment Income</w:t>
            </w:r>
          </w:p>
        </w:tc>
        <w:tc>
          <w:tcPr>
            <w:tcW w:w="1240" w:type="dxa"/>
            <w:gridSpan w:val="4"/>
            <w:tcBorders>
              <w:top w:val="nil"/>
              <w:left w:val="nil"/>
              <w:bottom w:val="nil"/>
              <w:right w:val="nil"/>
            </w:tcBorders>
            <w:shd w:val="clear" w:color="auto" w:fill="auto"/>
            <w:noWrap/>
            <w:vAlign w:val="bottom"/>
            <w:hideMark/>
          </w:tcPr>
          <w:p w:rsidR="006C3EF9" w:rsidRPr="00687C99" w:rsidRDefault="006C3EF9" w:rsidP="006C3EF9">
            <w:pPr>
              <w:jc w:val="right"/>
              <w:rPr>
                <w:rFonts w:cs="Arial"/>
                <w:lang w:eastAsia="en-GB"/>
              </w:rPr>
            </w:pPr>
            <w:r w:rsidRPr="00687C99">
              <w:rPr>
                <w:rFonts w:cs="Arial"/>
                <w:color w:val="FF0000"/>
                <w:lang w:eastAsia="en-GB"/>
              </w:rPr>
              <w:t>(76)</w:t>
            </w:r>
          </w:p>
        </w:tc>
        <w:tc>
          <w:tcPr>
            <w:tcW w:w="1300" w:type="dxa"/>
            <w:gridSpan w:val="3"/>
            <w:tcBorders>
              <w:top w:val="nil"/>
              <w:left w:val="nil"/>
              <w:bottom w:val="nil"/>
              <w:right w:val="nil"/>
            </w:tcBorders>
            <w:shd w:val="clear" w:color="auto" w:fill="auto"/>
            <w:noWrap/>
            <w:vAlign w:val="bottom"/>
            <w:hideMark/>
          </w:tcPr>
          <w:p w:rsidR="006C3EF9" w:rsidRPr="00687C99" w:rsidRDefault="006C3EF9" w:rsidP="006C3EF9">
            <w:pPr>
              <w:jc w:val="right"/>
              <w:rPr>
                <w:rFonts w:cs="Arial"/>
                <w:lang w:eastAsia="en-GB"/>
              </w:rPr>
            </w:pPr>
            <w:r w:rsidRPr="00687C99">
              <w:rPr>
                <w:rFonts w:cs="Arial"/>
                <w:color w:val="FF0000"/>
                <w:lang w:eastAsia="en-GB"/>
              </w:rPr>
              <w:t>(59)</w:t>
            </w:r>
          </w:p>
        </w:tc>
        <w:tc>
          <w:tcPr>
            <w:tcW w:w="1300" w:type="dxa"/>
            <w:gridSpan w:val="4"/>
            <w:tcBorders>
              <w:top w:val="nil"/>
              <w:left w:val="nil"/>
              <w:bottom w:val="nil"/>
              <w:right w:val="nil"/>
            </w:tcBorders>
            <w:shd w:val="clear" w:color="auto" w:fill="auto"/>
            <w:noWrap/>
            <w:vAlign w:val="bottom"/>
            <w:hideMark/>
          </w:tcPr>
          <w:p w:rsidR="006C3EF9" w:rsidRPr="00687C99" w:rsidRDefault="006C3EF9" w:rsidP="006C3EF9">
            <w:pPr>
              <w:jc w:val="right"/>
              <w:rPr>
                <w:rFonts w:cs="Arial"/>
                <w:lang w:eastAsia="en-GB"/>
              </w:rPr>
            </w:pPr>
            <w:r w:rsidRPr="00687C99">
              <w:rPr>
                <w:rFonts w:cs="Arial"/>
                <w:color w:val="FF0000"/>
                <w:lang w:eastAsia="en-GB"/>
              </w:rPr>
              <w:t>(59)</w:t>
            </w:r>
          </w:p>
        </w:tc>
        <w:tc>
          <w:tcPr>
            <w:tcW w:w="1300" w:type="dxa"/>
            <w:gridSpan w:val="3"/>
            <w:tcBorders>
              <w:top w:val="nil"/>
              <w:left w:val="nil"/>
              <w:bottom w:val="nil"/>
              <w:right w:val="single" w:sz="8" w:space="0" w:color="auto"/>
            </w:tcBorders>
            <w:shd w:val="clear" w:color="auto" w:fill="auto"/>
            <w:noWrap/>
            <w:vAlign w:val="bottom"/>
            <w:hideMark/>
          </w:tcPr>
          <w:p w:rsidR="006C3EF9" w:rsidRPr="00687C99" w:rsidRDefault="006C3EF9" w:rsidP="006C3EF9">
            <w:pPr>
              <w:jc w:val="right"/>
              <w:rPr>
                <w:rFonts w:cs="Arial"/>
                <w:lang w:eastAsia="en-GB"/>
              </w:rPr>
            </w:pPr>
            <w:r w:rsidRPr="00687C99">
              <w:rPr>
                <w:rFonts w:cs="Arial"/>
                <w:color w:val="FF0000"/>
                <w:lang w:eastAsia="en-GB"/>
              </w:rPr>
              <w:t>(61)</w:t>
            </w:r>
          </w:p>
        </w:tc>
      </w:tr>
      <w:tr w:rsidR="006C3EF9" w:rsidRPr="00687C9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87C99" w:rsidRDefault="006C3EF9" w:rsidP="006C3EF9">
            <w:pPr>
              <w:rPr>
                <w:rFonts w:cs="Arial"/>
                <w:lang w:eastAsia="en-GB"/>
              </w:rPr>
            </w:pPr>
            <w:r w:rsidRPr="00687C99">
              <w:rPr>
                <w:rFonts w:cs="Arial"/>
                <w:lang w:eastAsia="en-GB"/>
              </w:rPr>
              <w:t> </w:t>
            </w:r>
          </w:p>
        </w:tc>
        <w:tc>
          <w:tcPr>
            <w:tcW w:w="1240" w:type="dxa"/>
            <w:gridSpan w:val="4"/>
            <w:tcBorders>
              <w:top w:val="nil"/>
              <w:left w:val="nil"/>
              <w:bottom w:val="nil"/>
              <w:right w:val="nil"/>
            </w:tcBorders>
            <w:shd w:val="clear" w:color="auto" w:fill="auto"/>
            <w:noWrap/>
            <w:vAlign w:val="bottom"/>
            <w:hideMark/>
          </w:tcPr>
          <w:p w:rsidR="006C3EF9" w:rsidRPr="00687C99" w:rsidRDefault="006C3EF9" w:rsidP="006C3EF9">
            <w:pPr>
              <w:rPr>
                <w:rFonts w:cs="Arial"/>
                <w:lang w:eastAsia="en-GB"/>
              </w:rPr>
            </w:pPr>
          </w:p>
        </w:tc>
        <w:tc>
          <w:tcPr>
            <w:tcW w:w="1300" w:type="dxa"/>
            <w:gridSpan w:val="3"/>
            <w:tcBorders>
              <w:top w:val="nil"/>
              <w:left w:val="nil"/>
              <w:bottom w:val="nil"/>
              <w:right w:val="nil"/>
            </w:tcBorders>
            <w:shd w:val="clear" w:color="auto" w:fill="auto"/>
            <w:noWrap/>
            <w:vAlign w:val="bottom"/>
            <w:hideMark/>
          </w:tcPr>
          <w:p w:rsidR="006C3EF9" w:rsidRPr="00687C99" w:rsidRDefault="006C3EF9" w:rsidP="006C3EF9">
            <w:pPr>
              <w:rPr>
                <w:rFonts w:cs="Arial"/>
                <w:lang w:eastAsia="en-GB"/>
              </w:rPr>
            </w:pPr>
          </w:p>
        </w:tc>
        <w:tc>
          <w:tcPr>
            <w:tcW w:w="1300" w:type="dxa"/>
            <w:gridSpan w:val="4"/>
            <w:tcBorders>
              <w:top w:val="nil"/>
              <w:left w:val="nil"/>
              <w:bottom w:val="nil"/>
              <w:right w:val="nil"/>
            </w:tcBorders>
            <w:shd w:val="clear" w:color="auto" w:fill="auto"/>
            <w:noWrap/>
            <w:vAlign w:val="bottom"/>
            <w:hideMark/>
          </w:tcPr>
          <w:p w:rsidR="006C3EF9" w:rsidRPr="00687C99" w:rsidRDefault="006C3EF9" w:rsidP="006C3EF9">
            <w:pPr>
              <w:rPr>
                <w:rFonts w:cs="Arial"/>
                <w:lang w:eastAsia="en-GB"/>
              </w:rPr>
            </w:pPr>
          </w:p>
        </w:tc>
        <w:tc>
          <w:tcPr>
            <w:tcW w:w="1300" w:type="dxa"/>
            <w:gridSpan w:val="3"/>
            <w:tcBorders>
              <w:top w:val="nil"/>
              <w:left w:val="nil"/>
              <w:bottom w:val="nil"/>
              <w:right w:val="single" w:sz="8" w:space="0" w:color="auto"/>
            </w:tcBorders>
            <w:shd w:val="clear" w:color="auto" w:fill="auto"/>
            <w:noWrap/>
            <w:vAlign w:val="bottom"/>
            <w:hideMark/>
          </w:tcPr>
          <w:p w:rsidR="006C3EF9" w:rsidRPr="00687C99" w:rsidRDefault="006C3EF9" w:rsidP="006C3EF9">
            <w:pPr>
              <w:rPr>
                <w:rFonts w:cs="Arial"/>
                <w:lang w:eastAsia="en-GB"/>
              </w:rPr>
            </w:pPr>
            <w:r w:rsidRPr="00687C99">
              <w:rPr>
                <w:rFonts w:cs="Arial"/>
                <w:lang w:eastAsia="en-GB"/>
              </w:rPr>
              <w:t> </w:t>
            </w:r>
          </w:p>
        </w:tc>
      </w:tr>
      <w:tr w:rsidR="006C3EF9" w:rsidRPr="00687C9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87C99" w:rsidRDefault="006C3EF9" w:rsidP="006C3EF9">
            <w:pPr>
              <w:rPr>
                <w:rFonts w:cs="Arial"/>
                <w:b/>
                <w:bCs/>
                <w:lang w:eastAsia="en-GB"/>
              </w:rPr>
            </w:pPr>
            <w:r w:rsidRPr="00687C99">
              <w:rPr>
                <w:rFonts w:cs="Arial"/>
                <w:b/>
                <w:bCs/>
                <w:lang w:eastAsia="en-GB"/>
              </w:rPr>
              <w:t>(Surplus)/Deficit c/fwd</w:t>
            </w:r>
          </w:p>
        </w:tc>
        <w:tc>
          <w:tcPr>
            <w:tcW w:w="1240" w:type="dxa"/>
            <w:gridSpan w:val="4"/>
            <w:tcBorders>
              <w:top w:val="nil"/>
              <w:left w:val="nil"/>
              <w:bottom w:val="nil"/>
              <w:right w:val="nil"/>
            </w:tcBorders>
            <w:shd w:val="clear" w:color="auto" w:fill="auto"/>
            <w:noWrap/>
            <w:vAlign w:val="bottom"/>
            <w:hideMark/>
          </w:tcPr>
          <w:p w:rsidR="006C3EF9" w:rsidRPr="00687C99" w:rsidRDefault="006C3EF9" w:rsidP="006C3EF9">
            <w:pPr>
              <w:jc w:val="right"/>
              <w:rPr>
                <w:rFonts w:cs="Arial"/>
                <w:b/>
                <w:bCs/>
                <w:lang w:eastAsia="en-GB"/>
              </w:rPr>
            </w:pPr>
            <w:r w:rsidRPr="00687C99">
              <w:rPr>
                <w:rFonts w:cs="Arial"/>
                <w:b/>
                <w:bCs/>
                <w:color w:val="FF0000"/>
                <w:lang w:eastAsia="en-GB"/>
              </w:rPr>
              <w:t>(11,156)</w:t>
            </w:r>
          </w:p>
        </w:tc>
        <w:tc>
          <w:tcPr>
            <w:tcW w:w="1300" w:type="dxa"/>
            <w:gridSpan w:val="3"/>
            <w:tcBorders>
              <w:top w:val="nil"/>
              <w:left w:val="nil"/>
              <w:bottom w:val="nil"/>
              <w:right w:val="nil"/>
            </w:tcBorders>
            <w:shd w:val="clear" w:color="auto" w:fill="auto"/>
            <w:noWrap/>
            <w:vAlign w:val="bottom"/>
            <w:hideMark/>
          </w:tcPr>
          <w:p w:rsidR="006C3EF9" w:rsidRPr="00687C99" w:rsidRDefault="006C3EF9" w:rsidP="006C3EF9">
            <w:pPr>
              <w:jc w:val="right"/>
              <w:rPr>
                <w:rFonts w:cs="Arial"/>
                <w:b/>
                <w:bCs/>
                <w:lang w:eastAsia="en-GB"/>
              </w:rPr>
            </w:pPr>
            <w:r w:rsidRPr="00687C99">
              <w:rPr>
                <w:rFonts w:cs="Arial"/>
                <w:b/>
                <w:bCs/>
                <w:color w:val="FF0000"/>
                <w:lang w:eastAsia="en-GB"/>
              </w:rPr>
              <w:t>(9,050)</w:t>
            </w:r>
          </w:p>
        </w:tc>
        <w:tc>
          <w:tcPr>
            <w:tcW w:w="1300" w:type="dxa"/>
            <w:gridSpan w:val="4"/>
            <w:tcBorders>
              <w:top w:val="nil"/>
              <w:left w:val="nil"/>
              <w:bottom w:val="nil"/>
              <w:right w:val="nil"/>
            </w:tcBorders>
            <w:shd w:val="clear" w:color="auto" w:fill="auto"/>
            <w:noWrap/>
            <w:vAlign w:val="bottom"/>
            <w:hideMark/>
          </w:tcPr>
          <w:p w:rsidR="006C3EF9" w:rsidRPr="00687C99" w:rsidRDefault="006C3EF9" w:rsidP="006C3EF9">
            <w:pPr>
              <w:jc w:val="right"/>
              <w:rPr>
                <w:rFonts w:cs="Arial"/>
                <w:b/>
                <w:bCs/>
                <w:lang w:eastAsia="en-GB"/>
              </w:rPr>
            </w:pPr>
            <w:r w:rsidRPr="00687C99">
              <w:rPr>
                <w:rFonts w:cs="Arial"/>
                <w:b/>
                <w:bCs/>
                <w:color w:val="FF0000"/>
                <w:lang w:eastAsia="en-GB"/>
              </w:rPr>
              <w:t>(7,281)</w:t>
            </w:r>
          </w:p>
        </w:tc>
        <w:tc>
          <w:tcPr>
            <w:tcW w:w="1300" w:type="dxa"/>
            <w:gridSpan w:val="3"/>
            <w:tcBorders>
              <w:top w:val="nil"/>
              <w:left w:val="nil"/>
              <w:bottom w:val="nil"/>
              <w:right w:val="single" w:sz="8" w:space="0" w:color="auto"/>
            </w:tcBorders>
            <w:shd w:val="clear" w:color="auto" w:fill="auto"/>
            <w:noWrap/>
            <w:vAlign w:val="bottom"/>
            <w:hideMark/>
          </w:tcPr>
          <w:p w:rsidR="006C3EF9" w:rsidRPr="00687C99" w:rsidRDefault="006C3EF9" w:rsidP="006C3EF9">
            <w:pPr>
              <w:jc w:val="right"/>
              <w:rPr>
                <w:rFonts w:cs="Arial"/>
                <w:b/>
                <w:bCs/>
                <w:lang w:eastAsia="en-GB"/>
              </w:rPr>
            </w:pPr>
            <w:r w:rsidRPr="00687C99">
              <w:rPr>
                <w:rFonts w:cs="Arial"/>
                <w:b/>
                <w:bCs/>
                <w:color w:val="FF0000"/>
                <w:lang w:eastAsia="en-GB"/>
              </w:rPr>
              <w:t>(5,502)</w:t>
            </w:r>
          </w:p>
        </w:tc>
      </w:tr>
      <w:tr w:rsidR="006C3EF9" w:rsidRPr="00687C99" w:rsidTr="006C3EF9">
        <w:trPr>
          <w:trHeight w:val="270"/>
        </w:trPr>
        <w:tc>
          <w:tcPr>
            <w:tcW w:w="4700" w:type="dxa"/>
            <w:tcBorders>
              <w:top w:val="nil"/>
              <w:left w:val="single" w:sz="8" w:space="0" w:color="auto"/>
              <w:bottom w:val="single" w:sz="8" w:space="0" w:color="auto"/>
              <w:right w:val="nil"/>
            </w:tcBorders>
            <w:shd w:val="clear" w:color="auto" w:fill="auto"/>
            <w:noWrap/>
            <w:vAlign w:val="bottom"/>
            <w:hideMark/>
          </w:tcPr>
          <w:p w:rsidR="006C3EF9" w:rsidRPr="00687C99" w:rsidRDefault="006C3EF9" w:rsidP="006C3EF9">
            <w:pPr>
              <w:rPr>
                <w:rFonts w:cs="Arial"/>
                <w:lang w:eastAsia="en-GB"/>
              </w:rPr>
            </w:pPr>
            <w:r w:rsidRPr="00687C99">
              <w:rPr>
                <w:rFonts w:cs="Arial"/>
                <w:lang w:eastAsia="en-GB"/>
              </w:rPr>
              <w:t> </w:t>
            </w:r>
          </w:p>
        </w:tc>
        <w:tc>
          <w:tcPr>
            <w:tcW w:w="1240" w:type="dxa"/>
            <w:gridSpan w:val="4"/>
            <w:tcBorders>
              <w:top w:val="nil"/>
              <w:left w:val="nil"/>
              <w:bottom w:val="single" w:sz="8" w:space="0" w:color="auto"/>
              <w:right w:val="nil"/>
            </w:tcBorders>
            <w:shd w:val="clear" w:color="auto" w:fill="auto"/>
            <w:noWrap/>
            <w:vAlign w:val="bottom"/>
            <w:hideMark/>
          </w:tcPr>
          <w:p w:rsidR="006C3EF9" w:rsidRPr="00687C99" w:rsidRDefault="006C3EF9" w:rsidP="006C3EF9">
            <w:pPr>
              <w:rPr>
                <w:rFonts w:cs="Arial"/>
                <w:lang w:eastAsia="en-GB"/>
              </w:rPr>
            </w:pPr>
            <w:r w:rsidRPr="00687C99">
              <w:rPr>
                <w:rFonts w:cs="Arial"/>
                <w:lang w:eastAsia="en-GB"/>
              </w:rPr>
              <w:t> </w:t>
            </w:r>
          </w:p>
        </w:tc>
        <w:tc>
          <w:tcPr>
            <w:tcW w:w="1300" w:type="dxa"/>
            <w:gridSpan w:val="3"/>
            <w:tcBorders>
              <w:top w:val="nil"/>
              <w:left w:val="nil"/>
              <w:bottom w:val="single" w:sz="8" w:space="0" w:color="auto"/>
              <w:right w:val="nil"/>
            </w:tcBorders>
            <w:shd w:val="clear" w:color="auto" w:fill="auto"/>
            <w:noWrap/>
            <w:vAlign w:val="bottom"/>
            <w:hideMark/>
          </w:tcPr>
          <w:p w:rsidR="006C3EF9" w:rsidRPr="00687C99" w:rsidRDefault="006C3EF9" w:rsidP="006C3EF9">
            <w:pPr>
              <w:rPr>
                <w:rFonts w:cs="Arial"/>
                <w:lang w:eastAsia="en-GB"/>
              </w:rPr>
            </w:pPr>
            <w:r w:rsidRPr="00687C99">
              <w:rPr>
                <w:rFonts w:cs="Arial"/>
                <w:lang w:eastAsia="en-GB"/>
              </w:rPr>
              <w:t> </w:t>
            </w:r>
          </w:p>
        </w:tc>
        <w:tc>
          <w:tcPr>
            <w:tcW w:w="1300" w:type="dxa"/>
            <w:gridSpan w:val="4"/>
            <w:tcBorders>
              <w:top w:val="nil"/>
              <w:left w:val="nil"/>
              <w:bottom w:val="single" w:sz="8" w:space="0" w:color="auto"/>
              <w:right w:val="nil"/>
            </w:tcBorders>
            <w:shd w:val="clear" w:color="auto" w:fill="auto"/>
            <w:noWrap/>
            <w:vAlign w:val="bottom"/>
            <w:hideMark/>
          </w:tcPr>
          <w:p w:rsidR="006C3EF9" w:rsidRPr="00687C99" w:rsidRDefault="006C3EF9" w:rsidP="006C3EF9">
            <w:pPr>
              <w:rPr>
                <w:rFonts w:cs="Arial"/>
                <w:lang w:eastAsia="en-GB"/>
              </w:rPr>
            </w:pPr>
            <w:r w:rsidRPr="00687C99">
              <w:rPr>
                <w:rFonts w:cs="Arial"/>
                <w:lang w:eastAsia="en-GB"/>
              </w:rPr>
              <w:t> </w:t>
            </w:r>
          </w:p>
        </w:tc>
        <w:tc>
          <w:tcPr>
            <w:tcW w:w="1300" w:type="dxa"/>
            <w:gridSpan w:val="3"/>
            <w:tcBorders>
              <w:top w:val="nil"/>
              <w:left w:val="nil"/>
              <w:bottom w:val="single" w:sz="8" w:space="0" w:color="auto"/>
              <w:right w:val="single" w:sz="8" w:space="0" w:color="auto"/>
            </w:tcBorders>
            <w:shd w:val="clear" w:color="auto" w:fill="auto"/>
            <w:noWrap/>
            <w:vAlign w:val="bottom"/>
            <w:hideMark/>
          </w:tcPr>
          <w:p w:rsidR="006C3EF9" w:rsidRPr="00687C99" w:rsidRDefault="006C3EF9" w:rsidP="006C3EF9">
            <w:pPr>
              <w:rPr>
                <w:rFonts w:cs="Arial"/>
                <w:lang w:eastAsia="en-GB"/>
              </w:rPr>
            </w:pPr>
            <w:r w:rsidRPr="00687C99">
              <w:rPr>
                <w:rFonts w:cs="Arial"/>
                <w:lang w:eastAsia="en-GB"/>
              </w:rPr>
              <w:t> </w:t>
            </w:r>
          </w:p>
        </w:tc>
      </w:tr>
      <w:tr w:rsidR="00762332" w:rsidRPr="00762332" w:rsidTr="006C3EF9">
        <w:trPr>
          <w:gridAfter w:val="2"/>
          <w:wAfter w:w="1201" w:type="dxa"/>
          <w:trHeight w:val="255"/>
        </w:trPr>
        <w:tc>
          <w:tcPr>
            <w:tcW w:w="4756" w:type="dxa"/>
            <w:gridSpan w:val="2"/>
            <w:tcBorders>
              <w:top w:val="nil"/>
              <w:left w:val="nil"/>
              <w:bottom w:val="nil"/>
              <w:right w:val="nil"/>
            </w:tcBorders>
            <w:shd w:val="clear" w:color="auto" w:fill="auto"/>
            <w:noWrap/>
            <w:vAlign w:val="bottom"/>
          </w:tcPr>
          <w:p w:rsidR="00762332" w:rsidRPr="00762332" w:rsidRDefault="00762332" w:rsidP="00762332">
            <w:pPr>
              <w:rPr>
                <w:rFonts w:cs="Arial"/>
                <w:sz w:val="20"/>
                <w:szCs w:val="20"/>
                <w:highlight w:val="yellow"/>
                <w:lang w:eastAsia="en-GB"/>
              </w:rPr>
            </w:pPr>
          </w:p>
        </w:tc>
        <w:tc>
          <w:tcPr>
            <w:tcW w:w="961" w:type="dxa"/>
            <w:gridSpan w:val="2"/>
            <w:tcBorders>
              <w:top w:val="nil"/>
              <w:left w:val="nil"/>
              <w:bottom w:val="nil"/>
              <w:right w:val="nil"/>
            </w:tcBorders>
            <w:shd w:val="clear" w:color="auto" w:fill="auto"/>
            <w:noWrap/>
            <w:vAlign w:val="bottom"/>
          </w:tcPr>
          <w:p w:rsidR="00762332" w:rsidRPr="00762332" w:rsidRDefault="00762332" w:rsidP="00762332">
            <w:pPr>
              <w:jc w:val="right"/>
              <w:rPr>
                <w:rFonts w:cs="Arial"/>
                <w:sz w:val="20"/>
                <w:szCs w:val="20"/>
                <w:highlight w:val="yellow"/>
                <w:lang w:eastAsia="en-GB"/>
              </w:rPr>
            </w:pPr>
          </w:p>
        </w:tc>
        <w:tc>
          <w:tcPr>
            <w:tcW w:w="961" w:type="dxa"/>
            <w:gridSpan w:val="3"/>
            <w:tcBorders>
              <w:top w:val="nil"/>
              <w:left w:val="nil"/>
              <w:bottom w:val="nil"/>
              <w:right w:val="nil"/>
            </w:tcBorders>
            <w:shd w:val="clear" w:color="auto" w:fill="auto"/>
            <w:noWrap/>
            <w:vAlign w:val="bottom"/>
          </w:tcPr>
          <w:p w:rsidR="00762332" w:rsidRPr="00762332" w:rsidRDefault="00762332" w:rsidP="00762332">
            <w:pPr>
              <w:jc w:val="right"/>
              <w:rPr>
                <w:rFonts w:cs="Arial"/>
                <w:sz w:val="20"/>
                <w:szCs w:val="20"/>
                <w:highlight w:val="yellow"/>
                <w:lang w:eastAsia="en-GB"/>
              </w:rPr>
            </w:pPr>
          </w:p>
        </w:tc>
        <w:tc>
          <w:tcPr>
            <w:tcW w:w="961" w:type="dxa"/>
            <w:gridSpan w:val="3"/>
            <w:tcBorders>
              <w:top w:val="nil"/>
              <w:left w:val="nil"/>
              <w:bottom w:val="nil"/>
              <w:right w:val="nil"/>
            </w:tcBorders>
            <w:shd w:val="clear" w:color="auto" w:fill="auto"/>
            <w:noWrap/>
            <w:vAlign w:val="bottom"/>
          </w:tcPr>
          <w:p w:rsidR="00762332" w:rsidRPr="00762332" w:rsidRDefault="00762332" w:rsidP="00762332">
            <w:pPr>
              <w:jc w:val="right"/>
              <w:rPr>
                <w:rFonts w:cs="Arial"/>
                <w:sz w:val="20"/>
                <w:szCs w:val="20"/>
                <w:highlight w:val="yellow"/>
                <w:lang w:eastAsia="en-GB"/>
              </w:rPr>
            </w:pPr>
          </w:p>
        </w:tc>
        <w:tc>
          <w:tcPr>
            <w:tcW w:w="1000" w:type="dxa"/>
            <w:gridSpan w:val="3"/>
            <w:tcBorders>
              <w:top w:val="nil"/>
              <w:left w:val="nil"/>
              <w:bottom w:val="nil"/>
              <w:right w:val="nil"/>
            </w:tcBorders>
            <w:shd w:val="clear" w:color="auto" w:fill="auto"/>
            <w:noWrap/>
            <w:vAlign w:val="bottom"/>
          </w:tcPr>
          <w:p w:rsidR="00762332" w:rsidRPr="00762332" w:rsidRDefault="00762332" w:rsidP="00762332">
            <w:pPr>
              <w:jc w:val="right"/>
              <w:rPr>
                <w:rFonts w:cs="Arial"/>
                <w:sz w:val="20"/>
                <w:szCs w:val="20"/>
                <w:highlight w:val="yellow"/>
                <w:lang w:eastAsia="en-GB"/>
              </w:rPr>
            </w:pPr>
          </w:p>
        </w:tc>
      </w:tr>
    </w:tbl>
    <w:p w:rsidR="00902E5A" w:rsidRPr="00582CF1" w:rsidRDefault="00902E5A" w:rsidP="00030F4B">
      <w:pPr>
        <w:pStyle w:val="Heading1"/>
      </w:pPr>
      <w:r w:rsidRPr="00582CF1">
        <w:t>Risk Implications</w:t>
      </w:r>
    </w:p>
    <w:p w:rsidR="000E47F3" w:rsidRPr="000F525A" w:rsidRDefault="000E47F3" w:rsidP="00030F4B">
      <w:pPr>
        <w:pStyle w:val="ListParagraph"/>
      </w:pPr>
      <w:r w:rsidRPr="000F525A">
        <w:t xml:space="preserve">The main risks to the balanced position of HRA </w:t>
      </w:r>
      <w:r w:rsidR="00741E73">
        <w:t>are</w:t>
      </w:r>
      <w:r>
        <w:t xml:space="preserve"> summarised </w:t>
      </w:r>
      <w:r w:rsidRPr="000F525A">
        <w:t xml:space="preserve">below and detailed in Appendix </w:t>
      </w:r>
      <w:r>
        <w:t>8</w:t>
      </w:r>
      <w:r w:rsidRPr="000F525A">
        <w:t>:</w:t>
      </w:r>
    </w:p>
    <w:p w:rsidR="000E47F3" w:rsidRPr="000F525A" w:rsidRDefault="000E47F3" w:rsidP="004D4B44">
      <w:pPr>
        <w:numPr>
          <w:ilvl w:val="1"/>
          <w:numId w:val="3"/>
        </w:numPr>
        <w:tabs>
          <w:tab w:val="clear" w:pos="2160"/>
        </w:tabs>
        <w:autoSpaceDE w:val="0"/>
        <w:autoSpaceDN w:val="0"/>
        <w:adjustRightInd w:val="0"/>
        <w:ind w:left="1134" w:right="380" w:hanging="284"/>
        <w:rPr>
          <w:rFonts w:cs="Arial"/>
        </w:rPr>
      </w:pPr>
      <w:r w:rsidRPr="000F525A">
        <w:rPr>
          <w:rFonts w:cs="Arial"/>
        </w:rPr>
        <w:lastRenderedPageBreak/>
        <w:t xml:space="preserve">Liability arising from </w:t>
      </w:r>
      <w:r>
        <w:rPr>
          <w:rFonts w:cs="Arial"/>
        </w:rPr>
        <w:t xml:space="preserve">forced sale of </w:t>
      </w:r>
      <w:r w:rsidRPr="000F525A">
        <w:rPr>
          <w:rFonts w:cs="Arial"/>
        </w:rPr>
        <w:t>H</w:t>
      </w:r>
      <w:r>
        <w:rPr>
          <w:rFonts w:cs="Arial"/>
        </w:rPr>
        <w:t xml:space="preserve">igh </w:t>
      </w:r>
      <w:r w:rsidRPr="000F525A">
        <w:rPr>
          <w:rFonts w:cs="Arial"/>
        </w:rPr>
        <w:t>V</w:t>
      </w:r>
      <w:r>
        <w:rPr>
          <w:rFonts w:cs="Arial"/>
        </w:rPr>
        <w:t xml:space="preserve">alue </w:t>
      </w:r>
      <w:r w:rsidRPr="000F525A">
        <w:rPr>
          <w:rFonts w:cs="Arial"/>
        </w:rPr>
        <w:t>C</w:t>
      </w:r>
      <w:r>
        <w:rPr>
          <w:rFonts w:cs="Arial"/>
        </w:rPr>
        <w:t xml:space="preserve">ouncil </w:t>
      </w:r>
      <w:r w:rsidRPr="000F525A">
        <w:rPr>
          <w:rFonts w:cs="Arial"/>
        </w:rPr>
        <w:t>H</w:t>
      </w:r>
      <w:r>
        <w:rPr>
          <w:rFonts w:cs="Arial"/>
        </w:rPr>
        <w:t>ousing (HVCH)</w:t>
      </w:r>
      <w:r w:rsidRPr="000F525A">
        <w:rPr>
          <w:rFonts w:cs="Arial"/>
        </w:rPr>
        <w:t xml:space="preserve"> is more than estimated</w:t>
      </w:r>
      <w:r w:rsidR="00FB09EC">
        <w:rPr>
          <w:rFonts w:cs="Arial"/>
        </w:rPr>
        <w:t xml:space="preserve"> for future years</w:t>
      </w:r>
    </w:p>
    <w:p w:rsidR="000E47F3" w:rsidRDefault="000E47F3" w:rsidP="004D4B44">
      <w:pPr>
        <w:numPr>
          <w:ilvl w:val="1"/>
          <w:numId w:val="3"/>
        </w:numPr>
        <w:tabs>
          <w:tab w:val="clear" w:pos="2160"/>
        </w:tabs>
        <w:autoSpaceDE w:val="0"/>
        <w:autoSpaceDN w:val="0"/>
        <w:adjustRightInd w:val="0"/>
        <w:ind w:left="1134" w:right="380" w:hanging="284"/>
        <w:rPr>
          <w:rFonts w:cs="Arial"/>
        </w:rPr>
      </w:pPr>
      <w:r w:rsidRPr="000F525A">
        <w:rPr>
          <w:rFonts w:cs="Arial"/>
        </w:rPr>
        <w:t xml:space="preserve">Rent increase in year four is insufficient to sustain </w:t>
      </w:r>
      <w:r>
        <w:rPr>
          <w:rFonts w:cs="Arial"/>
        </w:rPr>
        <w:t>the HRA BP over the 30 year trajectory.</w:t>
      </w:r>
    </w:p>
    <w:p w:rsidR="000E47F3" w:rsidRPr="000F525A" w:rsidRDefault="000E47F3" w:rsidP="004D4B44">
      <w:pPr>
        <w:numPr>
          <w:ilvl w:val="1"/>
          <w:numId w:val="3"/>
        </w:numPr>
        <w:tabs>
          <w:tab w:val="clear" w:pos="2160"/>
        </w:tabs>
        <w:autoSpaceDE w:val="0"/>
        <w:autoSpaceDN w:val="0"/>
        <w:adjustRightInd w:val="0"/>
        <w:ind w:left="1134" w:right="380" w:hanging="284"/>
        <w:rPr>
          <w:rFonts w:cs="Arial"/>
        </w:rPr>
      </w:pPr>
      <w:r w:rsidRPr="000F525A">
        <w:rPr>
          <w:rFonts w:cs="Arial"/>
        </w:rPr>
        <w:t>Increased arrears due to benefit changes arising from the roll out of universal credit</w:t>
      </w:r>
    </w:p>
    <w:p w:rsidR="000E47F3" w:rsidRPr="000F525A" w:rsidRDefault="000E47F3" w:rsidP="004D4B44">
      <w:pPr>
        <w:numPr>
          <w:ilvl w:val="1"/>
          <w:numId w:val="3"/>
        </w:numPr>
        <w:tabs>
          <w:tab w:val="clear" w:pos="2160"/>
        </w:tabs>
        <w:autoSpaceDE w:val="0"/>
        <w:autoSpaceDN w:val="0"/>
        <w:adjustRightInd w:val="0"/>
        <w:ind w:left="1134" w:right="380" w:hanging="284"/>
        <w:rPr>
          <w:rFonts w:cs="Arial"/>
        </w:rPr>
      </w:pPr>
      <w:r w:rsidRPr="000F525A">
        <w:rPr>
          <w:rFonts w:cs="Arial"/>
        </w:rPr>
        <w:t xml:space="preserve">Non-achievement of assumed Right </w:t>
      </w:r>
      <w:r w:rsidR="004605C4" w:rsidRPr="000F525A">
        <w:rPr>
          <w:rFonts w:cs="Arial"/>
        </w:rPr>
        <w:t>to</w:t>
      </w:r>
      <w:r w:rsidRPr="000F525A">
        <w:rPr>
          <w:rFonts w:cs="Arial"/>
        </w:rPr>
        <w:t xml:space="preserve"> Buy sales now required to fund the increased capital spend commitments. </w:t>
      </w:r>
    </w:p>
    <w:p w:rsidR="000E47F3" w:rsidRPr="000F525A" w:rsidRDefault="000E47F3" w:rsidP="004D4B44">
      <w:pPr>
        <w:numPr>
          <w:ilvl w:val="1"/>
          <w:numId w:val="3"/>
        </w:numPr>
        <w:tabs>
          <w:tab w:val="clear" w:pos="2160"/>
        </w:tabs>
        <w:autoSpaceDE w:val="0"/>
        <w:autoSpaceDN w:val="0"/>
        <w:adjustRightInd w:val="0"/>
        <w:ind w:left="1134" w:right="380" w:hanging="284"/>
        <w:rPr>
          <w:rFonts w:cs="Arial"/>
        </w:rPr>
      </w:pPr>
      <w:r w:rsidRPr="000F525A">
        <w:rPr>
          <w:rFonts w:cs="Arial"/>
        </w:rPr>
        <w:t>Non-achievement of planned efficiencies.</w:t>
      </w:r>
    </w:p>
    <w:p w:rsidR="000E47F3" w:rsidRDefault="000E47F3" w:rsidP="004D4B44">
      <w:pPr>
        <w:numPr>
          <w:ilvl w:val="1"/>
          <w:numId w:val="3"/>
        </w:numPr>
        <w:tabs>
          <w:tab w:val="clear" w:pos="2160"/>
        </w:tabs>
        <w:autoSpaceDE w:val="0"/>
        <w:autoSpaceDN w:val="0"/>
        <w:adjustRightInd w:val="0"/>
        <w:ind w:left="1134" w:right="380" w:hanging="284"/>
        <w:rPr>
          <w:rFonts w:cs="Arial"/>
        </w:rPr>
      </w:pPr>
      <w:r w:rsidRPr="000F525A">
        <w:rPr>
          <w:rFonts w:cs="Arial"/>
        </w:rPr>
        <w:t>Variations in estimates causing cash flow problems</w:t>
      </w:r>
    </w:p>
    <w:p w:rsidR="00143CAE" w:rsidRDefault="00143CAE" w:rsidP="00143CAE">
      <w:pPr>
        <w:autoSpaceDE w:val="0"/>
        <w:autoSpaceDN w:val="0"/>
        <w:adjustRightInd w:val="0"/>
        <w:ind w:left="1134" w:right="380"/>
        <w:rPr>
          <w:rFonts w:cs="Arial"/>
        </w:rPr>
      </w:pPr>
    </w:p>
    <w:p w:rsidR="000E47F3" w:rsidRPr="000F525A" w:rsidRDefault="000E47F3" w:rsidP="000E47F3">
      <w:pPr>
        <w:autoSpaceDE w:val="0"/>
        <w:autoSpaceDN w:val="0"/>
        <w:adjustRightInd w:val="0"/>
        <w:ind w:left="851" w:right="380"/>
        <w:rPr>
          <w:rFonts w:cs="Arial"/>
        </w:rPr>
      </w:pPr>
    </w:p>
    <w:p w:rsidR="002719F1" w:rsidRPr="00B55C1D" w:rsidRDefault="000731FA" w:rsidP="00030F4B">
      <w:pPr>
        <w:ind w:right="386"/>
        <w:jc w:val="both"/>
        <w:rPr>
          <w:b/>
          <w:sz w:val="28"/>
          <w:szCs w:val="28"/>
        </w:rPr>
      </w:pPr>
      <w:r w:rsidRPr="00B55C1D">
        <w:rPr>
          <w:b/>
          <w:sz w:val="28"/>
          <w:szCs w:val="28"/>
        </w:rPr>
        <w:t>Section C</w:t>
      </w:r>
      <w:r w:rsidR="002719F1" w:rsidRPr="00B55C1D">
        <w:rPr>
          <w:b/>
          <w:sz w:val="28"/>
          <w:szCs w:val="28"/>
        </w:rPr>
        <w:t xml:space="preserve"> Capital </w:t>
      </w:r>
      <w:r w:rsidR="002468A6" w:rsidRPr="00B55C1D">
        <w:rPr>
          <w:b/>
          <w:sz w:val="28"/>
          <w:szCs w:val="28"/>
        </w:rPr>
        <w:t>Programme</w:t>
      </w:r>
    </w:p>
    <w:p w:rsidR="002719F1" w:rsidRPr="0082262F" w:rsidRDefault="00A547C5" w:rsidP="00030F4B">
      <w:pPr>
        <w:pStyle w:val="ListParagraph"/>
      </w:pPr>
      <w:r w:rsidRPr="0082262F">
        <w:t xml:space="preserve">The </w:t>
      </w:r>
      <w:r w:rsidR="00D45154" w:rsidRPr="0082262F">
        <w:t>Council</w:t>
      </w:r>
      <w:r w:rsidR="00B904BD" w:rsidRPr="0082262F">
        <w:t>’</w:t>
      </w:r>
      <w:r w:rsidR="00D45154" w:rsidRPr="0082262F">
        <w:t xml:space="preserve">s </w:t>
      </w:r>
      <w:r w:rsidR="004F4E49">
        <w:t xml:space="preserve">Draft </w:t>
      </w:r>
      <w:r w:rsidR="00D45154" w:rsidRPr="0082262F">
        <w:t xml:space="preserve">Capital </w:t>
      </w:r>
      <w:r w:rsidRPr="0082262F">
        <w:t>Prog</w:t>
      </w:r>
      <w:r w:rsidR="002719F1" w:rsidRPr="0082262F">
        <w:t xml:space="preserve">ramme </w:t>
      </w:r>
      <w:r w:rsidR="004F4E49">
        <w:t xml:space="preserve">for </w:t>
      </w:r>
      <w:r w:rsidR="004F4E49" w:rsidRPr="004E6D8E">
        <w:t>c</w:t>
      </w:r>
      <w:r w:rsidR="005B5052" w:rsidRPr="004E6D8E">
        <w:t xml:space="preserve">onsultation </w:t>
      </w:r>
      <w:r w:rsidR="002719F1" w:rsidRPr="004E6D8E">
        <w:t>amount</w:t>
      </w:r>
      <w:r w:rsidR="005B5052" w:rsidRPr="004E6D8E">
        <w:t>ed</w:t>
      </w:r>
      <w:r w:rsidR="002719F1" w:rsidRPr="004E6D8E">
        <w:t xml:space="preserve"> to </w:t>
      </w:r>
      <w:r w:rsidR="00011409" w:rsidRPr="004E6D8E">
        <w:t>over</w:t>
      </w:r>
      <w:r w:rsidR="002719F1" w:rsidRPr="004E6D8E">
        <w:t xml:space="preserve"> £</w:t>
      </w:r>
      <w:r w:rsidR="00D45154" w:rsidRPr="004E6D8E">
        <w:t>1</w:t>
      </w:r>
      <w:r w:rsidR="0082262F" w:rsidRPr="004E6D8E">
        <w:t>3</w:t>
      </w:r>
      <w:r w:rsidR="0020073C" w:rsidRPr="004E6D8E">
        <w:t>2</w:t>
      </w:r>
      <w:r w:rsidR="0020073C">
        <w:t xml:space="preserve"> </w:t>
      </w:r>
      <w:r w:rsidR="002719F1" w:rsidRPr="0082262F">
        <w:t xml:space="preserve">million over the four year period </w:t>
      </w:r>
      <w:r w:rsidR="0082262F">
        <w:t>201</w:t>
      </w:r>
      <w:r w:rsidR="003B0605">
        <w:t>7</w:t>
      </w:r>
      <w:r w:rsidR="0082262F">
        <w:t>/1</w:t>
      </w:r>
      <w:r w:rsidR="003B0605">
        <w:t>8</w:t>
      </w:r>
      <w:r w:rsidR="0082262F">
        <w:t xml:space="preserve"> to 20</w:t>
      </w:r>
      <w:r w:rsidR="003B0605">
        <w:t>20</w:t>
      </w:r>
      <w:r w:rsidR="0082262F">
        <w:t>/2</w:t>
      </w:r>
      <w:r w:rsidR="003B0605">
        <w:t>1</w:t>
      </w:r>
      <w:r w:rsidR="0082262F">
        <w:t>.</w:t>
      </w:r>
    </w:p>
    <w:p w:rsidR="002719F1" w:rsidRPr="0082262F" w:rsidRDefault="002719F1" w:rsidP="002719F1">
      <w:pPr>
        <w:pStyle w:val="Default"/>
        <w:tabs>
          <w:tab w:val="left" w:pos="720"/>
        </w:tabs>
        <w:ind w:left="1077" w:right="386"/>
        <w:jc w:val="both"/>
      </w:pPr>
    </w:p>
    <w:p w:rsidR="00983B2E" w:rsidRDefault="002719F1" w:rsidP="00030F4B">
      <w:pPr>
        <w:pStyle w:val="ListParagraph"/>
      </w:pPr>
      <w:r w:rsidRPr="0082262F">
        <w:t xml:space="preserve">Appendix </w:t>
      </w:r>
      <w:r w:rsidR="00011409" w:rsidRPr="0082262F">
        <w:t>6</w:t>
      </w:r>
      <w:r w:rsidRPr="0082262F">
        <w:t xml:space="preserve"> attached detail</w:t>
      </w:r>
      <w:r w:rsidR="00011409" w:rsidRPr="0082262F">
        <w:t>s</w:t>
      </w:r>
      <w:r w:rsidRPr="0082262F">
        <w:t xml:space="preserve"> the Council’s Capital </w:t>
      </w:r>
      <w:r w:rsidRPr="009E25A4">
        <w:t>Programme</w:t>
      </w:r>
      <w:r w:rsidRPr="0082262F">
        <w:t xml:space="preserve"> for 201</w:t>
      </w:r>
      <w:r w:rsidR="003B0605">
        <w:t>7</w:t>
      </w:r>
      <w:r w:rsidRPr="0082262F">
        <w:t>/1</w:t>
      </w:r>
      <w:r w:rsidR="003B0605">
        <w:t>8</w:t>
      </w:r>
      <w:r w:rsidRPr="0082262F">
        <w:t xml:space="preserve"> to 20</w:t>
      </w:r>
      <w:r w:rsidR="003B0605">
        <w:t>20</w:t>
      </w:r>
      <w:r w:rsidRPr="0082262F">
        <w:t>/</w:t>
      </w:r>
      <w:r w:rsidR="00011409" w:rsidRPr="0082262F">
        <w:t>2</w:t>
      </w:r>
      <w:r w:rsidR="003B0605">
        <w:t>1</w:t>
      </w:r>
      <w:r w:rsidRPr="0082262F">
        <w:t>.</w:t>
      </w:r>
      <w:r w:rsidR="00143CAE">
        <w:t xml:space="preserve"> </w:t>
      </w:r>
      <w:r w:rsidR="00EE2594" w:rsidRPr="0082262F">
        <w:t>The changes to the Consultation Budget reported in December 201</w:t>
      </w:r>
      <w:r w:rsidR="003B0605">
        <w:t>6</w:t>
      </w:r>
      <w:r w:rsidR="00EE2594" w:rsidRPr="0082262F">
        <w:t xml:space="preserve"> are </w:t>
      </w:r>
      <w:r w:rsidRPr="009E25A4">
        <w:t>summari</w:t>
      </w:r>
      <w:r w:rsidR="00201D70" w:rsidRPr="009E25A4">
        <w:t>s</w:t>
      </w:r>
      <w:r w:rsidRPr="009E25A4">
        <w:t>ed</w:t>
      </w:r>
      <w:r w:rsidRPr="0082262F">
        <w:t xml:space="preserve"> </w:t>
      </w:r>
      <w:r w:rsidR="0082262F">
        <w:t xml:space="preserve">in </w:t>
      </w:r>
      <w:r w:rsidR="00CD16FB">
        <w:t>T</w:t>
      </w:r>
      <w:r w:rsidR="0082262F">
        <w:t>able 9 below</w:t>
      </w:r>
      <w:r w:rsidR="00B74D07">
        <w:t xml:space="preserve">. </w:t>
      </w:r>
    </w:p>
    <w:p w:rsidR="00657B05" w:rsidRDefault="00657B05" w:rsidP="00657B05">
      <w:pPr>
        <w:pStyle w:val="Default"/>
        <w:tabs>
          <w:tab w:val="left" w:pos="709"/>
        </w:tabs>
        <w:ind w:right="386"/>
        <w:jc w:val="both"/>
      </w:pPr>
    </w:p>
    <w:p w:rsidR="00657B05" w:rsidRDefault="00657B05" w:rsidP="00657B05">
      <w:pPr>
        <w:pStyle w:val="Default"/>
        <w:tabs>
          <w:tab w:val="left" w:pos="709"/>
        </w:tabs>
        <w:ind w:right="386"/>
        <w:jc w:val="both"/>
      </w:pPr>
    </w:p>
    <w:tbl>
      <w:tblPr>
        <w:tblW w:w="8484" w:type="dxa"/>
        <w:tblInd w:w="103" w:type="dxa"/>
        <w:tblLook w:val="04A0" w:firstRow="1" w:lastRow="0" w:firstColumn="1" w:lastColumn="0" w:noHBand="0" w:noVBand="1"/>
      </w:tblPr>
      <w:tblGrid>
        <w:gridCol w:w="3358"/>
        <w:gridCol w:w="1215"/>
        <w:gridCol w:w="1215"/>
        <w:gridCol w:w="1348"/>
        <w:gridCol w:w="1348"/>
      </w:tblGrid>
      <w:tr w:rsidR="00AF1B7D" w:rsidRPr="00687C99" w:rsidTr="00AF1B7D">
        <w:trPr>
          <w:trHeight w:val="300"/>
        </w:trPr>
        <w:tc>
          <w:tcPr>
            <w:tcW w:w="5788" w:type="dxa"/>
            <w:gridSpan w:val="3"/>
            <w:tcBorders>
              <w:top w:val="single" w:sz="4" w:space="0" w:color="auto"/>
              <w:left w:val="single" w:sz="4" w:space="0" w:color="auto"/>
              <w:bottom w:val="single" w:sz="4" w:space="0" w:color="auto"/>
              <w:right w:val="nil"/>
            </w:tcBorders>
            <w:shd w:val="clear" w:color="auto" w:fill="auto"/>
            <w:noWrap/>
            <w:vAlign w:val="bottom"/>
            <w:hideMark/>
          </w:tcPr>
          <w:p w:rsidR="00AF1B7D" w:rsidRPr="00687C99" w:rsidRDefault="00AF1B7D" w:rsidP="00513B51">
            <w:pPr>
              <w:tabs>
                <w:tab w:val="left" w:pos="7938"/>
              </w:tabs>
              <w:rPr>
                <w:rFonts w:cs="Arial"/>
                <w:b/>
                <w:bCs/>
                <w:color w:val="000000"/>
                <w:lang w:eastAsia="en-GB"/>
              </w:rPr>
            </w:pPr>
            <w:r w:rsidRPr="00687C99">
              <w:rPr>
                <w:rFonts w:cs="Arial"/>
                <w:b/>
                <w:bCs/>
                <w:color w:val="000000"/>
                <w:lang w:eastAsia="en-GB"/>
              </w:rPr>
              <w:t xml:space="preserve">Table </w:t>
            </w:r>
            <w:r w:rsidR="00D25F70" w:rsidRPr="00687C99">
              <w:rPr>
                <w:rFonts w:cs="Arial"/>
                <w:b/>
                <w:bCs/>
                <w:color w:val="000000"/>
                <w:lang w:eastAsia="en-GB"/>
              </w:rPr>
              <w:t>9</w:t>
            </w:r>
            <w:r w:rsidRPr="00687C99">
              <w:rPr>
                <w:rFonts w:cs="Arial"/>
                <w:b/>
                <w:bCs/>
                <w:color w:val="000000"/>
                <w:lang w:eastAsia="en-GB"/>
              </w:rPr>
              <w:t xml:space="preserve"> </w:t>
            </w:r>
            <w:r w:rsidR="00F36E7E" w:rsidRPr="00687C99">
              <w:rPr>
                <w:rFonts w:cs="Arial"/>
                <w:b/>
                <w:bCs/>
                <w:color w:val="000000"/>
                <w:lang w:eastAsia="en-GB"/>
              </w:rPr>
              <w:t xml:space="preserve">Changes to </w:t>
            </w:r>
            <w:r w:rsidRPr="00687C99">
              <w:rPr>
                <w:rFonts w:cs="Arial"/>
                <w:b/>
                <w:bCs/>
                <w:color w:val="000000"/>
                <w:lang w:eastAsia="en-GB"/>
              </w:rPr>
              <w:t>Capital Programme 201</w:t>
            </w:r>
            <w:r w:rsidR="003B0605" w:rsidRPr="00687C99">
              <w:rPr>
                <w:rFonts w:cs="Arial"/>
                <w:b/>
                <w:bCs/>
                <w:color w:val="000000"/>
                <w:lang w:eastAsia="en-GB"/>
              </w:rPr>
              <w:t>7</w:t>
            </w:r>
            <w:r w:rsidRPr="00687C99">
              <w:rPr>
                <w:rFonts w:cs="Arial"/>
                <w:b/>
                <w:bCs/>
                <w:color w:val="000000"/>
                <w:lang w:eastAsia="en-GB"/>
              </w:rPr>
              <w:t>/1</w:t>
            </w:r>
            <w:r w:rsidR="003B0605" w:rsidRPr="00687C99">
              <w:rPr>
                <w:rFonts w:cs="Arial"/>
                <w:b/>
                <w:bCs/>
                <w:color w:val="000000"/>
                <w:lang w:eastAsia="en-GB"/>
              </w:rPr>
              <w:t>8</w:t>
            </w:r>
            <w:r w:rsidRPr="00687C99">
              <w:rPr>
                <w:rFonts w:cs="Arial"/>
                <w:b/>
                <w:bCs/>
                <w:color w:val="000000"/>
                <w:lang w:eastAsia="en-GB"/>
              </w:rPr>
              <w:t xml:space="preserve"> to 20</w:t>
            </w:r>
            <w:r w:rsidR="003B0605" w:rsidRPr="00687C99">
              <w:rPr>
                <w:rFonts w:cs="Arial"/>
                <w:b/>
                <w:bCs/>
                <w:color w:val="000000"/>
                <w:lang w:eastAsia="en-GB"/>
              </w:rPr>
              <w:t>20</w:t>
            </w:r>
            <w:r w:rsidRPr="00687C99">
              <w:rPr>
                <w:rFonts w:cs="Arial"/>
                <w:b/>
                <w:bCs/>
                <w:color w:val="000000"/>
                <w:lang w:eastAsia="en-GB"/>
              </w:rPr>
              <w:t>/</w:t>
            </w:r>
            <w:r w:rsidR="00011409" w:rsidRPr="00687C99">
              <w:rPr>
                <w:rFonts w:cs="Arial"/>
                <w:b/>
                <w:bCs/>
                <w:color w:val="000000"/>
                <w:lang w:eastAsia="en-GB"/>
              </w:rPr>
              <w:t>2</w:t>
            </w:r>
            <w:r w:rsidR="003B0605" w:rsidRPr="00687C99">
              <w:rPr>
                <w:rFonts w:cs="Arial"/>
                <w:b/>
                <w:bCs/>
                <w:color w:val="000000"/>
                <w:lang w:eastAsia="en-GB"/>
              </w:rPr>
              <w:t>1</w:t>
            </w:r>
            <w:r w:rsidR="00F36E7E" w:rsidRPr="00687C99">
              <w:rPr>
                <w:rFonts w:cs="Arial"/>
                <w:b/>
                <w:bCs/>
                <w:color w:val="000000"/>
                <w:lang w:eastAsia="en-GB"/>
              </w:rPr>
              <w:t xml:space="preserve"> compared to </w:t>
            </w:r>
            <w:r w:rsidR="00F3572E" w:rsidRPr="00687C99">
              <w:rPr>
                <w:rFonts w:cs="Arial"/>
                <w:b/>
                <w:bCs/>
                <w:color w:val="000000"/>
                <w:lang w:eastAsia="en-GB"/>
              </w:rPr>
              <w:t>Consultation Budget</w:t>
            </w:r>
          </w:p>
        </w:tc>
        <w:tc>
          <w:tcPr>
            <w:tcW w:w="1348" w:type="dxa"/>
            <w:tcBorders>
              <w:top w:val="single" w:sz="4" w:space="0" w:color="auto"/>
              <w:left w:val="nil"/>
              <w:bottom w:val="single" w:sz="4" w:space="0" w:color="auto"/>
              <w:right w:val="nil"/>
            </w:tcBorders>
            <w:shd w:val="clear" w:color="auto" w:fill="auto"/>
            <w:noWrap/>
            <w:vAlign w:val="bottom"/>
            <w:hideMark/>
          </w:tcPr>
          <w:p w:rsidR="00AF1B7D" w:rsidRPr="00687C99" w:rsidRDefault="00AF1B7D" w:rsidP="00513B51">
            <w:pPr>
              <w:tabs>
                <w:tab w:val="left" w:pos="7938"/>
              </w:tabs>
              <w:rPr>
                <w:rFonts w:cs="Arial"/>
                <w:color w:val="000000"/>
                <w:lang w:eastAsia="en-GB"/>
              </w:rPr>
            </w:pPr>
            <w:r w:rsidRPr="00687C99">
              <w:rPr>
                <w:rFonts w:cs="Arial"/>
                <w:color w:val="000000"/>
                <w:lang w:eastAsia="en-GB"/>
              </w:rPr>
              <w:t> </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AF1B7D" w:rsidRPr="00687C99" w:rsidRDefault="00AF1B7D" w:rsidP="00513B51">
            <w:pPr>
              <w:tabs>
                <w:tab w:val="left" w:pos="7938"/>
              </w:tabs>
              <w:rPr>
                <w:rFonts w:cs="Arial"/>
                <w:color w:val="000000"/>
                <w:lang w:eastAsia="en-GB"/>
              </w:rPr>
            </w:pPr>
            <w:r w:rsidRPr="00687C99">
              <w:rPr>
                <w:rFonts w:cs="Arial"/>
                <w:color w:val="000000"/>
                <w:lang w:eastAsia="en-GB"/>
              </w:rPr>
              <w:t> </w:t>
            </w:r>
          </w:p>
        </w:tc>
      </w:tr>
      <w:tr w:rsidR="003B0605" w:rsidRPr="00687C99" w:rsidTr="00AF1B7D">
        <w:trPr>
          <w:trHeight w:val="300"/>
        </w:trPr>
        <w:tc>
          <w:tcPr>
            <w:tcW w:w="3358" w:type="dxa"/>
            <w:tcBorders>
              <w:top w:val="nil"/>
              <w:left w:val="single" w:sz="4" w:space="0" w:color="auto"/>
              <w:bottom w:val="single" w:sz="4" w:space="0" w:color="auto"/>
              <w:right w:val="single" w:sz="4" w:space="0" w:color="auto"/>
            </w:tcBorders>
            <w:shd w:val="clear" w:color="auto" w:fill="auto"/>
            <w:vAlign w:val="bottom"/>
            <w:hideMark/>
          </w:tcPr>
          <w:p w:rsidR="003B0605" w:rsidRPr="00687C99" w:rsidRDefault="003B0605" w:rsidP="00513B51">
            <w:pPr>
              <w:tabs>
                <w:tab w:val="left" w:pos="7938"/>
              </w:tabs>
              <w:rPr>
                <w:rFonts w:cs="Arial"/>
                <w:color w:val="000000"/>
                <w:lang w:eastAsia="en-GB"/>
              </w:rPr>
            </w:pPr>
            <w:r w:rsidRPr="00687C99">
              <w:rPr>
                <w:rFonts w:cs="Arial"/>
                <w:color w:val="000000"/>
                <w:lang w:eastAsia="en-GB"/>
              </w:rPr>
              <w:t> </w:t>
            </w:r>
          </w:p>
        </w:tc>
        <w:tc>
          <w:tcPr>
            <w:tcW w:w="1215" w:type="dxa"/>
            <w:tcBorders>
              <w:top w:val="nil"/>
              <w:left w:val="nil"/>
              <w:bottom w:val="single" w:sz="4" w:space="0" w:color="auto"/>
              <w:right w:val="single" w:sz="4" w:space="0" w:color="auto"/>
            </w:tcBorders>
            <w:shd w:val="clear" w:color="000000" w:fill="D9D9D9"/>
            <w:noWrap/>
            <w:vAlign w:val="bottom"/>
            <w:hideMark/>
          </w:tcPr>
          <w:p w:rsidR="003B0605" w:rsidRPr="00687C99" w:rsidRDefault="003B0605" w:rsidP="00513B51">
            <w:pPr>
              <w:tabs>
                <w:tab w:val="left" w:pos="7938"/>
              </w:tabs>
              <w:rPr>
                <w:rFonts w:cs="Arial"/>
                <w:b/>
                <w:bCs/>
                <w:color w:val="000000"/>
                <w:lang w:eastAsia="en-GB"/>
              </w:rPr>
            </w:pPr>
            <w:r w:rsidRPr="00687C99">
              <w:rPr>
                <w:rFonts w:cs="Arial"/>
                <w:b/>
                <w:bCs/>
                <w:color w:val="000000"/>
                <w:lang w:eastAsia="en-GB"/>
              </w:rPr>
              <w:t>2017/18</w:t>
            </w:r>
          </w:p>
        </w:tc>
        <w:tc>
          <w:tcPr>
            <w:tcW w:w="1215" w:type="dxa"/>
            <w:tcBorders>
              <w:top w:val="nil"/>
              <w:left w:val="nil"/>
              <w:bottom w:val="single" w:sz="4" w:space="0" w:color="auto"/>
              <w:right w:val="single" w:sz="4" w:space="0" w:color="auto"/>
            </w:tcBorders>
            <w:shd w:val="clear" w:color="000000" w:fill="D9D9D9"/>
            <w:noWrap/>
            <w:vAlign w:val="bottom"/>
            <w:hideMark/>
          </w:tcPr>
          <w:p w:rsidR="003B0605" w:rsidRPr="00687C99" w:rsidRDefault="003B0605" w:rsidP="00513B51">
            <w:pPr>
              <w:tabs>
                <w:tab w:val="left" w:pos="7938"/>
              </w:tabs>
              <w:rPr>
                <w:rFonts w:cs="Arial"/>
                <w:b/>
                <w:bCs/>
                <w:color w:val="000000"/>
                <w:lang w:eastAsia="en-GB"/>
              </w:rPr>
            </w:pPr>
            <w:r w:rsidRPr="00687C99">
              <w:rPr>
                <w:rFonts w:cs="Arial"/>
                <w:b/>
                <w:bCs/>
                <w:color w:val="000000"/>
                <w:lang w:eastAsia="en-GB"/>
              </w:rPr>
              <w:t>2018/19</w:t>
            </w:r>
          </w:p>
        </w:tc>
        <w:tc>
          <w:tcPr>
            <w:tcW w:w="1348" w:type="dxa"/>
            <w:tcBorders>
              <w:top w:val="nil"/>
              <w:left w:val="nil"/>
              <w:bottom w:val="single" w:sz="4" w:space="0" w:color="auto"/>
              <w:right w:val="single" w:sz="4" w:space="0" w:color="auto"/>
            </w:tcBorders>
            <w:shd w:val="clear" w:color="000000" w:fill="D9D9D9"/>
            <w:noWrap/>
            <w:vAlign w:val="bottom"/>
            <w:hideMark/>
          </w:tcPr>
          <w:p w:rsidR="003B0605" w:rsidRPr="00687C99" w:rsidRDefault="003B0605" w:rsidP="00513B51">
            <w:pPr>
              <w:tabs>
                <w:tab w:val="left" w:pos="7938"/>
              </w:tabs>
              <w:rPr>
                <w:rFonts w:cs="Arial"/>
                <w:b/>
                <w:bCs/>
                <w:color w:val="000000"/>
                <w:lang w:eastAsia="en-GB"/>
              </w:rPr>
            </w:pPr>
            <w:r w:rsidRPr="00687C99">
              <w:rPr>
                <w:rFonts w:cs="Arial"/>
                <w:b/>
                <w:bCs/>
                <w:color w:val="000000"/>
                <w:lang w:eastAsia="en-GB"/>
              </w:rPr>
              <w:t>2019/20</w:t>
            </w:r>
          </w:p>
        </w:tc>
        <w:tc>
          <w:tcPr>
            <w:tcW w:w="1348" w:type="dxa"/>
            <w:tcBorders>
              <w:top w:val="nil"/>
              <w:left w:val="nil"/>
              <w:bottom w:val="single" w:sz="4" w:space="0" w:color="auto"/>
              <w:right w:val="single" w:sz="4" w:space="0" w:color="auto"/>
            </w:tcBorders>
            <w:shd w:val="clear" w:color="000000" w:fill="D9D9D9"/>
            <w:noWrap/>
            <w:vAlign w:val="bottom"/>
            <w:hideMark/>
          </w:tcPr>
          <w:p w:rsidR="003B0605" w:rsidRPr="00687C99" w:rsidRDefault="003B0605" w:rsidP="00513B51">
            <w:pPr>
              <w:tabs>
                <w:tab w:val="left" w:pos="7938"/>
              </w:tabs>
              <w:rPr>
                <w:rFonts w:cs="Arial"/>
                <w:b/>
                <w:bCs/>
                <w:color w:val="000000"/>
                <w:lang w:eastAsia="en-GB"/>
              </w:rPr>
            </w:pPr>
            <w:r w:rsidRPr="00687C99">
              <w:rPr>
                <w:rFonts w:cs="Arial"/>
                <w:b/>
                <w:bCs/>
                <w:color w:val="000000"/>
                <w:lang w:eastAsia="en-GB"/>
              </w:rPr>
              <w:t>2020/21</w:t>
            </w:r>
          </w:p>
        </w:tc>
      </w:tr>
      <w:tr w:rsidR="003B0605" w:rsidRPr="00687C99" w:rsidTr="00AF1B7D">
        <w:trPr>
          <w:trHeight w:val="300"/>
        </w:trPr>
        <w:tc>
          <w:tcPr>
            <w:tcW w:w="3358" w:type="dxa"/>
            <w:tcBorders>
              <w:top w:val="nil"/>
              <w:left w:val="single" w:sz="4" w:space="0" w:color="auto"/>
              <w:bottom w:val="single" w:sz="4" w:space="0" w:color="auto"/>
              <w:right w:val="single" w:sz="4" w:space="0" w:color="auto"/>
            </w:tcBorders>
            <w:shd w:val="clear" w:color="auto" w:fill="auto"/>
            <w:vAlign w:val="bottom"/>
            <w:hideMark/>
          </w:tcPr>
          <w:p w:rsidR="003B0605" w:rsidRPr="00687C99" w:rsidRDefault="003B0605" w:rsidP="00513B51">
            <w:pPr>
              <w:tabs>
                <w:tab w:val="left" w:pos="7938"/>
              </w:tabs>
              <w:rPr>
                <w:rFonts w:cs="Arial"/>
                <w:color w:val="000000"/>
                <w:lang w:eastAsia="en-GB"/>
              </w:rPr>
            </w:pPr>
            <w:r w:rsidRPr="00687C99">
              <w:rPr>
                <w:rFonts w:cs="Arial"/>
                <w:color w:val="000000"/>
                <w:lang w:eastAsia="en-GB"/>
              </w:rPr>
              <w:t> </w:t>
            </w:r>
          </w:p>
        </w:tc>
        <w:tc>
          <w:tcPr>
            <w:tcW w:w="1215" w:type="dxa"/>
            <w:tcBorders>
              <w:top w:val="nil"/>
              <w:left w:val="nil"/>
              <w:bottom w:val="single" w:sz="4" w:space="0" w:color="auto"/>
              <w:right w:val="single" w:sz="4" w:space="0" w:color="auto"/>
            </w:tcBorders>
            <w:shd w:val="clear" w:color="000000" w:fill="D9D9D9"/>
            <w:noWrap/>
            <w:vAlign w:val="bottom"/>
            <w:hideMark/>
          </w:tcPr>
          <w:p w:rsidR="003B0605" w:rsidRPr="00687C99" w:rsidRDefault="003B0605" w:rsidP="00513B51">
            <w:pPr>
              <w:tabs>
                <w:tab w:val="left" w:pos="7938"/>
              </w:tabs>
              <w:rPr>
                <w:rFonts w:cs="Arial"/>
                <w:b/>
                <w:bCs/>
                <w:color w:val="000000"/>
                <w:lang w:eastAsia="en-GB"/>
              </w:rPr>
            </w:pPr>
            <w:r w:rsidRPr="00687C99">
              <w:rPr>
                <w:rFonts w:cs="Arial"/>
                <w:b/>
                <w:bCs/>
                <w:color w:val="000000"/>
                <w:lang w:eastAsia="en-GB"/>
              </w:rPr>
              <w:t>£000's</w:t>
            </w:r>
          </w:p>
        </w:tc>
        <w:tc>
          <w:tcPr>
            <w:tcW w:w="1215" w:type="dxa"/>
            <w:tcBorders>
              <w:top w:val="nil"/>
              <w:left w:val="nil"/>
              <w:bottom w:val="single" w:sz="4" w:space="0" w:color="auto"/>
              <w:right w:val="single" w:sz="4" w:space="0" w:color="auto"/>
            </w:tcBorders>
            <w:shd w:val="clear" w:color="000000" w:fill="D9D9D9"/>
            <w:noWrap/>
            <w:vAlign w:val="bottom"/>
            <w:hideMark/>
          </w:tcPr>
          <w:p w:rsidR="003B0605" w:rsidRPr="00687C99" w:rsidRDefault="003B0605" w:rsidP="00513B51">
            <w:pPr>
              <w:tabs>
                <w:tab w:val="left" w:pos="7938"/>
              </w:tabs>
              <w:rPr>
                <w:rFonts w:cs="Arial"/>
                <w:b/>
                <w:bCs/>
                <w:color w:val="000000"/>
                <w:lang w:eastAsia="en-GB"/>
              </w:rPr>
            </w:pPr>
            <w:r w:rsidRPr="00687C99">
              <w:rPr>
                <w:rFonts w:cs="Arial"/>
                <w:b/>
                <w:bCs/>
                <w:color w:val="000000"/>
                <w:lang w:eastAsia="en-GB"/>
              </w:rPr>
              <w:t>£000's</w:t>
            </w:r>
          </w:p>
        </w:tc>
        <w:tc>
          <w:tcPr>
            <w:tcW w:w="1348" w:type="dxa"/>
            <w:tcBorders>
              <w:top w:val="nil"/>
              <w:left w:val="nil"/>
              <w:bottom w:val="single" w:sz="4" w:space="0" w:color="auto"/>
              <w:right w:val="single" w:sz="4" w:space="0" w:color="auto"/>
            </w:tcBorders>
            <w:shd w:val="clear" w:color="000000" w:fill="D9D9D9"/>
            <w:noWrap/>
            <w:vAlign w:val="bottom"/>
            <w:hideMark/>
          </w:tcPr>
          <w:p w:rsidR="003B0605" w:rsidRPr="00687C99" w:rsidRDefault="003B0605" w:rsidP="00513B51">
            <w:pPr>
              <w:tabs>
                <w:tab w:val="left" w:pos="7938"/>
              </w:tabs>
              <w:rPr>
                <w:rFonts w:cs="Arial"/>
                <w:b/>
                <w:bCs/>
                <w:color w:val="000000"/>
                <w:lang w:eastAsia="en-GB"/>
              </w:rPr>
            </w:pPr>
            <w:r w:rsidRPr="00687C99">
              <w:rPr>
                <w:rFonts w:cs="Arial"/>
                <w:b/>
                <w:bCs/>
                <w:color w:val="000000"/>
                <w:lang w:eastAsia="en-GB"/>
              </w:rPr>
              <w:t>£000's</w:t>
            </w:r>
          </w:p>
        </w:tc>
        <w:tc>
          <w:tcPr>
            <w:tcW w:w="1348" w:type="dxa"/>
            <w:tcBorders>
              <w:top w:val="nil"/>
              <w:left w:val="nil"/>
              <w:bottom w:val="single" w:sz="4" w:space="0" w:color="auto"/>
              <w:right w:val="single" w:sz="4" w:space="0" w:color="auto"/>
            </w:tcBorders>
            <w:shd w:val="clear" w:color="000000" w:fill="D9D9D9"/>
            <w:noWrap/>
            <w:vAlign w:val="bottom"/>
            <w:hideMark/>
          </w:tcPr>
          <w:p w:rsidR="003B0605" w:rsidRPr="00687C99" w:rsidRDefault="003B0605" w:rsidP="00513B51">
            <w:pPr>
              <w:tabs>
                <w:tab w:val="left" w:pos="7938"/>
              </w:tabs>
              <w:rPr>
                <w:rFonts w:cs="Arial"/>
                <w:b/>
                <w:bCs/>
                <w:color w:val="000000"/>
                <w:lang w:eastAsia="en-GB"/>
              </w:rPr>
            </w:pPr>
            <w:r w:rsidRPr="00687C99">
              <w:rPr>
                <w:rFonts w:cs="Arial"/>
                <w:b/>
                <w:bCs/>
                <w:color w:val="000000"/>
                <w:lang w:eastAsia="en-GB"/>
              </w:rPr>
              <w:t>£000's</w:t>
            </w:r>
          </w:p>
        </w:tc>
      </w:tr>
      <w:tr w:rsidR="003B0605" w:rsidRPr="00687C99" w:rsidTr="00AF1B7D">
        <w:trPr>
          <w:trHeight w:val="300"/>
        </w:trPr>
        <w:tc>
          <w:tcPr>
            <w:tcW w:w="3358" w:type="dxa"/>
            <w:tcBorders>
              <w:top w:val="nil"/>
              <w:left w:val="single" w:sz="4" w:space="0" w:color="auto"/>
              <w:bottom w:val="single" w:sz="4" w:space="0" w:color="auto"/>
              <w:right w:val="single" w:sz="4" w:space="0" w:color="auto"/>
            </w:tcBorders>
            <w:shd w:val="clear" w:color="000000" w:fill="D9D9D9"/>
            <w:vAlign w:val="bottom"/>
            <w:hideMark/>
          </w:tcPr>
          <w:p w:rsidR="003B0605" w:rsidRPr="00687C99" w:rsidRDefault="003B0605" w:rsidP="00513B51">
            <w:pPr>
              <w:tabs>
                <w:tab w:val="left" w:pos="7938"/>
              </w:tabs>
              <w:rPr>
                <w:rFonts w:cs="Arial"/>
                <w:b/>
                <w:bCs/>
                <w:color w:val="000000"/>
                <w:lang w:eastAsia="en-GB"/>
              </w:rPr>
            </w:pPr>
            <w:r w:rsidRPr="00687C99">
              <w:rPr>
                <w:rFonts w:cs="Arial"/>
                <w:b/>
                <w:bCs/>
                <w:color w:val="000000"/>
                <w:lang w:eastAsia="en-GB"/>
              </w:rPr>
              <w:t>GENERAL FUND</w:t>
            </w:r>
          </w:p>
        </w:tc>
        <w:tc>
          <w:tcPr>
            <w:tcW w:w="1215" w:type="dxa"/>
            <w:tcBorders>
              <w:top w:val="nil"/>
              <w:left w:val="nil"/>
              <w:bottom w:val="single" w:sz="4" w:space="0" w:color="auto"/>
              <w:right w:val="single" w:sz="4" w:space="0" w:color="auto"/>
            </w:tcBorders>
            <w:shd w:val="clear" w:color="auto" w:fill="auto"/>
            <w:noWrap/>
            <w:vAlign w:val="bottom"/>
            <w:hideMark/>
          </w:tcPr>
          <w:p w:rsidR="003B0605" w:rsidRPr="00687C99" w:rsidRDefault="003B0605" w:rsidP="00513B51">
            <w:pPr>
              <w:tabs>
                <w:tab w:val="left" w:pos="7938"/>
              </w:tabs>
              <w:rPr>
                <w:rFonts w:cs="Arial"/>
                <w:color w:val="000000"/>
                <w:lang w:eastAsia="en-GB"/>
              </w:rPr>
            </w:pPr>
            <w:r w:rsidRPr="00687C99">
              <w:rPr>
                <w:rFonts w:cs="Arial"/>
                <w:color w:val="000000"/>
                <w:lang w:eastAsia="en-GB"/>
              </w:rPr>
              <w:t> </w:t>
            </w:r>
          </w:p>
        </w:tc>
        <w:tc>
          <w:tcPr>
            <w:tcW w:w="1215" w:type="dxa"/>
            <w:tcBorders>
              <w:top w:val="nil"/>
              <w:left w:val="nil"/>
              <w:bottom w:val="single" w:sz="4" w:space="0" w:color="auto"/>
              <w:right w:val="single" w:sz="4" w:space="0" w:color="auto"/>
            </w:tcBorders>
            <w:shd w:val="clear" w:color="auto" w:fill="auto"/>
            <w:noWrap/>
            <w:vAlign w:val="bottom"/>
            <w:hideMark/>
          </w:tcPr>
          <w:p w:rsidR="003B0605" w:rsidRPr="00687C99" w:rsidRDefault="003B0605" w:rsidP="00513B51">
            <w:pPr>
              <w:tabs>
                <w:tab w:val="left" w:pos="7938"/>
              </w:tabs>
              <w:rPr>
                <w:rFonts w:cs="Arial"/>
                <w:color w:val="000000"/>
                <w:lang w:eastAsia="en-GB"/>
              </w:rPr>
            </w:pPr>
            <w:r w:rsidRPr="00687C99">
              <w:rPr>
                <w:rFonts w:cs="Arial"/>
                <w:color w:val="000000"/>
                <w:lang w:eastAsia="en-GB"/>
              </w:rPr>
              <w:t> </w:t>
            </w:r>
          </w:p>
        </w:tc>
        <w:tc>
          <w:tcPr>
            <w:tcW w:w="1348" w:type="dxa"/>
            <w:tcBorders>
              <w:top w:val="nil"/>
              <w:left w:val="nil"/>
              <w:bottom w:val="single" w:sz="4" w:space="0" w:color="auto"/>
              <w:right w:val="single" w:sz="4" w:space="0" w:color="auto"/>
            </w:tcBorders>
            <w:shd w:val="clear" w:color="auto" w:fill="auto"/>
            <w:noWrap/>
            <w:vAlign w:val="bottom"/>
            <w:hideMark/>
          </w:tcPr>
          <w:p w:rsidR="003B0605" w:rsidRPr="00687C99" w:rsidRDefault="003B0605" w:rsidP="00513B51">
            <w:pPr>
              <w:tabs>
                <w:tab w:val="left" w:pos="7938"/>
              </w:tabs>
              <w:rPr>
                <w:rFonts w:cs="Arial"/>
                <w:color w:val="000000"/>
                <w:lang w:eastAsia="en-GB"/>
              </w:rPr>
            </w:pPr>
            <w:r w:rsidRPr="00687C99">
              <w:rPr>
                <w:rFonts w:cs="Arial"/>
                <w:color w:val="000000"/>
                <w:lang w:eastAsia="en-GB"/>
              </w:rPr>
              <w:t> </w:t>
            </w:r>
          </w:p>
        </w:tc>
        <w:tc>
          <w:tcPr>
            <w:tcW w:w="1348" w:type="dxa"/>
            <w:tcBorders>
              <w:top w:val="nil"/>
              <w:left w:val="nil"/>
              <w:bottom w:val="single" w:sz="4" w:space="0" w:color="auto"/>
              <w:right w:val="single" w:sz="4" w:space="0" w:color="auto"/>
            </w:tcBorders>
            <w:shd w:val="clear" w:color="auto" w:fill="auto"/>
            <w:noWrap/>
            <w:vAlign w:val="bottom"/>
            <w:hideMark/>
          </w:tcPr>
          <w:p w:rsidR="003B0605" w:rsidRPr="00687C99" w:rsidRDefault="003B0605" w:rsidP="00513B51">
            <w:pPr>
              <w:tabs>
                <w:tab w:val="left" w:pos="7938"/>
              </w:tabs>
              <w:rPr>
                <w:rFonts w:cs="Arial"/>
                <w:color w:val="000000"/>
                <w:lang w:eastAsia="en-GB"/>
              </w:rPr>
            </w:pPr>
            <w:r w:rsidRPr="00687C99">
              <w:rPr>
                <w:rFonts w:cs="Arial"/>
                <w:color w:val="000000"/>
                <w:lang w:eastAsia="en-GB"/>
              </w:rPr>
              <w:t> </w:t>
            </w:r>
          </w:p>
        </w:tc>
      </w:tr>
      <w:tr w:rsidR="003B0605" w:rsidRPr="00687C99"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hideMark/>
          </w:tcPr>
          <w:p w:rsidR="003B0605" w:rsidRPr="00687C99" w:rsidRDefault="003B0605" w:rsidP="00513B51">
            <w:pPr>
              <w:tabs>
                <w:tab w:val="left" w:pos="7938"/>
              </w:tabs>
              <w:rPr>
                <w:rFonts w:cs="Arial"/>
                <w:b/>
                <w:bCs/>
                <w:color w:val="000000"/>
                <w:lang w:eastAsia="en-GB"/>
              </w:rPr>
            </w:pPr>
            <w:r w:rsidRPr="00687C99">
              <w:rPr>
                <w:rFonts w:cs="Arial"/>
                <w:b/>
                <w:bCs/>
                <w:color w:val="000000"/>
                <w:lang w:eastAsia="en-GB"/>
              </w:rPr>
              <w:t>Consultation Budget Spend</w:t>
            </w:r>
          </w:p>
        </w:tc>
        <w:tc>
          <w:tcPr>
            <w:tcW w:w="1215" w:type="dxa"/>
            <w:tcBorders>
              <w:top w:val="nil"/>
              <w:left w:val="nil"/>
              <w:bottom w:val="single" w:sz="4" w:space="0" w:color="auto"/>
              <w:right w:val="single" w:sz="4" w:space="0" w:color="auto"/>
            </w:tcBorders>
            <w:shd w:val="clear" w:color="auto" w:fill="auto"/>
            <w:noWrap/>
            <w:vAlign w:val="bottom"/>
          </w:tcPr>
          <w:p w:rsidR="003B0605" w:rsidRPr="00687C99" w:rsidRDefault="003B0605" w:rsidP="00513B51">
            <w:pPr>
              <w:tabs>
                <w:tab w:val="left" w:pos="7938"/>
              </w:tabs>
              <w:jc w:val="right"/>
              <w:rPr>
                <w:rFonts w:cs="Arial"/>
                <w:b/>
                <w:bCs/>
                <w:color w:val="000000"/>
                <w:lang w:eastAsia="en-GB"/>
              </w:rPr>
            </w:pPr>
            <w:r w:rsidRPr="00687C99">
              <w:rPr>
                <w:rFonts w:cs="Arial"/>
                <w:b/>
                <w:bCs/>
                <w:color w:val="000000"/>
                <w:lang w:eastAsia="en-GB"/>
              </w:rPr>
              <w:t>40,859</w:t>
            </w:r>
          </w:p>
        </w:tc>
        <w:tc>
          <w:tcPr>
            <w:tcW w:w="1215" w:type="dxa"/>
            <w:tcBorders>
              <w:top w:val="nil"/>
              <w:left w:val="nil"/>
              <w:bottom w:val="single" w:sz="4" w:space="0" w:color="auto"/>
              <w:right w:val="single" w:sz="4" w:space="0" w:color="auto"/>
            </w:tcBorders>
            <w:shd w:val="clear" w:color="auto" w:fill="auto"/>
            <w:noWrap/>
            <w:vAlign w:val="bottom"/>
          </w:tcPr>
          <w:p w:rsidR="003B0605" w:rsidRPr="00687C99" w:rsidRDefault="003B0605" w:rsidP="00513B51">
            <w:pPr>
              <w:tabs>
                <w:tab w:val="left" w:pos="7938"/>
              </w:tabs>
              <w:jc w:val="right"/>
              <w:rPr>
                <w:rFonts w:cs="Arial"/>
                <w:b/>
                <w:bCs/>
                <w:color w:val="000000"/>
                <w:lang w:eastAsia="en-GB"/>
              </w:rPr>
            </w:pPr>
            <w:r w:rsidRPr="00687C99">
              <w:rPr>
                <w:rFonts w:cs="Arial"/>
                <w:b/>
                <w:bCs/>
                <w:color w:val="000000"/>
                <w:lang w:eastAsia="en-GB"/>
              </w:rPr>
              <w:t>42,980</w:t>
            </w:r>
          </w:p>
        </w:tc>
        <w:tc>
          <w:tcPr>
            <w:tcW w:w="1348" w:type="dxa"/>
            <w:tcBorders>
              <w:top w:val="nil"/>
              <w:left w:val="nil"/>
              <w:bottom w:val="single" w:sz="4" w:space="0" w:color="auto"/>
              <w:right w:val="single" w:sz="4" w:space="0" w:color="auto"/>
            </w:tcBorders>
            <w:shd w:val="clear" w:color="auto" w:fill="auto"/>
            <w:noWrap/>
            <w:vAlign w:val="bottom"/>
          </w:tcPr>
          <w:p w:rsidR="003B0605" w:rsidRPr="00687C99" w:rsidRDefault="003B0605" w:rsidP="00513B51">
            <w:pPr>
              <w:tabs>
                <w:tab w:val="left" w:pos="7938"/>
              </w:tabs>
              <w:jc w:val="right"/>
              <w:rPr>
                <w:rFonts w:cs="Arial"/>
                <w:b/>
                <w:bCs/>
                <w:color w:val="000000"/>
                <w:lang w:eastAsia="en-GB"/>
              </w:rPr>
            </w:pPr>
            <w:r w:rsidRPr="00687C99">
              <w:rPr>
                <w:rFonts w:cs="Arial"/>
                <w:b/>
                <w:bCs/>
                <w:color w:val="000000"/>
                <w:lang w:eastAsia="en-GB"/>
              </w:rPr>
              <w:t>22,153</w:t>
            </w:r>
          </w:p>
        </w:tc>
        <w:tc>
          <w:tcPr>
            <w:tcW w:w="1348" w:type="dxa"/>
            <w:tcBorders>
              <w:top w:val="nil"/>
              <w:left w:val="nil"/>
              <w:bottom w:val="single" w:sz="4" w:space="0" w:color="auto"/>
              <w:right w:val="single" w:sz="4" w:space="0" w:color="auto"/>
            </w:tcBorders>
            <w:shd w:val="clear" w:color="auto" w:fill="auto"/>
            <w:noWrap/>
            <w:vAlign w:val="bottom"/>
          </w:tcPr>
          <w:p w:rsidR="003B0605" w:rsidRPr="00687C99" w:rsidRDefault="003B0605" w:rsidP="00513B51">
            <w:pPr>
              <w:tabs>
                <w:tab w:val="left" w:pos="7938"/>
              </w:tabs>
              <w:jc w:val="right"/>
              <w:rPr>
                <w:rFonts w:cs="Arial"/>
                <w:b/>
                <w:bCs/>
                <w:color w:val="000000"/>
                <w:lang w:eastAsia="en-GB"/>
              </w:rPr>
            </w:pPr>
            <w:r w:rsidRPr="00687C99">
              <w:rPr>
                <w:rFonts w:cs="Arial"/>
                <w:b/>
                <w:bCs/>
                <w:color w:val="000000"/>
                <w:lang w:eastAsia="en-GB"/>
              </w:rPr>
              <w:t>16,530</w:t>
            </w:r>
          </w:p>
        </w:tc>
      </w:tr>
      <w:tr w:rsidR="003B0605" w:rsidRPr="00687C99" w:rsidTr="00AF1B7D">
        <w:trPr>
          <w:trHeight w:val="285"/>
        </w:trPr>
        <w:tc>
          <w:tcPr>
            <w:tcW w:w="3358" w:type="dxa"/>
            <w:tcBorders>
              <w:top w:val="nil"/>
              <w:left w:val="single" w:sz="4" w:space="0" w:color="auto"/>
              <w:bottom w:val="single" w:sz="4" w:space="0" w:color="auto"/>
              <w:right w:val="single" w:sz="4" w:space="0" w:color="auto"/>
            </w:tcBorders>
            <w:shd w:val="clear" w:color="auto" w:fill="auto"/>
            <w:vAlign w:val="bottom"/>
            <w:hideMark/>
          </w:tcPr>
          <w:p w:rsidR="003B0605" w:rsidRPr="00687C99" w:rsidRDefault="003B0605" w:rsidP="00513B51">
            <w:pPr>
              <w:tabs>
                <w:tab w:val="left" w:pos="7938"/>
              </w:tabs>
              <w:rPr>
                <w:rFonts w:cs="Arial"/>
                <w:b/>
                <w:color w:val="000000"/>
                <w:lang w:eastAsia="en-GB"/>
              </w:rPr>
            </w:pPr>
            <w:r w:rsidRPr="00687C99">
              <w:rPr>
                <w:rFonts w:cs="Arial"/>
                <w:b/>
                <w:color w:val="000000"/>
                <w:lang w:eastAsia="en-GB"/>
              </w:rPr>
              <w:t xml:space="preserve">Additional </w:t>
            </w:r>
            <w:r w:rsidR="00873079" w:rsidRPr="00687C99">
              <w:rPr>
                <w:rFonts w:cs="Arial"/>
                <w:b/>
                <w:color w:val="000000"/>
                <w:lang w:eastAsia="en-GB"/>
              </w:rPr>
              <w:t xml:space="preserve">changes to </w:t>
            </w:r>
            <w:r w:rsidRPr="00687C99">
              <w:rPr>
                <w:rFonts w:cs="Arial"/>
                <w:b/>
                <w:color w:val="000000"/>
                <w:lang w:eastAsia="en-GB"/>
              </w:rPr>
              <w:t>Schemes</w:t>
            </w:r>
            <w:r w:rsidR="001F0225" w:rsidRPr="00687C99">
              <w:rPr>
                <w:rFonts w:cs="Arial"/>
                <w:b/>
                <w:color w:val="000000"/>
                <w:lang w:eastAsia="en-GB"/>
              </w:rPr>
              <w:t xml:space="preserve"> </w:t>
            </w:r>
          </w:p>
        </w:tc>
        <w:tc>
          <w:tcPr>
            <w:tcW w:w="1215" w:type="dxa"/>
            <w:tcBorders>
              <w:top w:val="nil"/>
              <w:left w:val="nil"/>
              <w:bottom w:val="single" w:sz="4" w:space="0" w:color="auto"/>
              <w:right w:val="single" w:sz="4" w:space="0" w:color="auto"/>
            </w:tcBorders>
            <w:shd w:val="clear" w:color="auto" w:fill="auto"/>
            <w:noWrap/>
            <w:vAlign w:val="bottom"/>
            <w:hideMark/>
          </w:tcPr>
          <w:p w:rsidR="003B0605" w:rsidRPr="00687C99" w:rsidRDefault="003B0605" w:rsidP="00513B51">
            <w:pPr>
              <w:tabs>
                <w:tab w:val="left" w:pos="7938"/>
              </w:tabs>
              <w:rPr>
                <w:rFonts w:cs="Arial"/>
                <w:color w:val="000000"/>
                <w:lang w:eastAsia="en-GB"/>
              </w:rPr>
            </w:pPr>
            <w:r w:rsidRPr="00687C99">
              <w:rPr>
                <w:rFonts w:cs="Arial"/>
                <w:color w:val="000000"/>
                <w:lang w:eastAsia="en-GB"/>
              </w:rPr>
              <w:t> </w:t>
            </w:r>
          </w:p>
        </w:tc>
        <w:tc>
          <w:tcPr>
            <w:tcW w:w="1215" w:type="dxa"/>
            <w:tcBorders>
              <w:top w:val="nil"/>
              <w:left w:val="nil"/>
              <w:bottom w:val="single" w:sz="4" w:space="0" w:color="auto"/>
              <w:right w:val="single" w:sz="4" w:space="0" w:color="auto"/>
            </w:tcBorders>
            <w:shd w:val="clear" w:color="auto" w:fill="auto"/>
            <w:noWrap/>
            <w:vAlign w:val="bottom"/>
            <w:hideMark/>
          </w:tcPr>
          <w:p w:rsidR="003B0605" w:rsidRPr="00687C99" w:rsidRDefault="003B0605" w:rsidP="00513B51">
            <w:pPr>
              <w:tabs>
                <w:tab w:val="left" w:pos="7938"/>
              </w:tabs>
              <w:rPr>
                <w:rFonts w:cs="Arial"/>
                <w:color w:val="000000"/>
                <w:lang w:eastAsia="en-GB"/>
              </w:rPr>
            </w:pPr>
            <w:r w:rsidRPr="00687C99">
              <w:rPr>
                <w:rFonts w:cs="Arial"/>
                <w:color w:val="000000"/>
                <w:lang w:eastAsia="en-GB"/>
              </w:rPr>
              <w:t> </w:t>
            </w:r>
          </w:p>
        </w:tc>
        <w:tc>
          <w:tcPr>
            <w:tcW w:w="1348" w:type="dxa"/>
            <w:tcBorders>
              <w:top w:val="nil"/>
              <w:left w:val="nil"/>
              <w:bottom w:val="single" w:sz="4" w:space="0" w:color="auto"/>
              <w:right w:val="single" w:sz="4" w:space="0" w:color="auto"/>
            </w:tcBorders>
            <w:shd w:val="clear" w:color="auto" w:fill="auto"/>
            <w:noWrap/>
            <w:vAlign w:val="bottom"/>
            <w:hideMark/>
          </w:tcPr>
          <w:p w:rsidR="003B0605" w:rsidRPr="00687C99" w:rsidRDefault="003B0605" w:rsidP="00513B51">
            <w:pPr>
              <w:tabs>
                <w:tab w:val="left" w:pos="7938"/>
              </w:tabs>
              <w:rPr>
                <w:rFonts w:cs="Arial"/>
                <w:color w:val="000000"/>
                <w:lang w:eastAsia="en-GB"/>
              </w:rPr>
            </w:pPr>
            <w:r w:rsidRPr="00687C99">
              <w:rPr>
                <w:rFonts w:cs="Arial"/>
                <w:color w:val="000000"/>
                <w:lang w:eastAsia="en-GB"/>
              </w:rPr>
              <w:t> </w:t>
            </w:r>
          </w:p>
        </w:tc>
        <w:tc>
          <w:tcPr>
            <w:tcW w:w="1348" w:type="dxa"/>
            <w:tcBorders>
              <w:top w:val="nil"/>
              <w:left w:val="nil"/>
              <w:bottom w:val="single" w:sz="4" w:space="0" w:color="auto"/>
              <w:right w:val="single" w:sz="4" w:space="0" w:color="auto"/>
            </w:tcBorders>
            <w:shd w:val="clear" w:color="auto" w:fill="auto"/>
            <w:noWrap/>
            <w:vAlign w:val="bottom"/>
            <w:hideMark/>
          </w:tcPr>
          <w:p w:rsidR="003B0605" w:rsidRPr="00687C99" w:rsidRDefault="003B0605" w:rsidP="00513B51">
            <w:pPr>
              <w:tabs>
                <w:tab w:val="left" w:pos="7938"/>
              </w:tabs>
              <w:rPr>
                <w:rFonts w:cs="Arial"/>
                <w:color w:val="000000"/>
                <w:lang w:eastAsia="en-GB"/>
              </w:rPr>
            </w:pPr>
            <w:r w:rsidRPr="00687C99">
              <w:rPr>
                <w:rFonts w:cs="Arial"/>
                <w:color w:val="000000"/>
                <w:lang w:eastAsia="en-GB"/>
              </w:rPr>
              <w:t> </w:t>
            </w:r>
          </w:p>
        </w:tc>
      </w:tr>
      <w:tr w:rsidR="00363723" w:rsidRPr="00687C99" w:rsidTr="00AF1B7D">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363723" w:rsidRPr="00687C99" w:rsidRDefault="00363723" w:rsidP="00513B51">
            <w:pPr>
              <w:tabs>
                <w:tab w:val="left" w:pos="7938"/>
              </w:tabs>
              <w:rPr>
                <w:rFonts w:cs="Arial"/>
                <w:color w:val="000000"/>
                <w:lang w:eastAsia="en-GB"/>
              </w:rPr>
            </w:pPr>
            <w:r w:rsidRPr="00687C99">
              <w:rPr>
                <w:rFonts w:cs="Arial"/>
                <w:color w:val="000000"/>
                <w:lang w:eastAsia="en-GB"/>
              </w:rPr>
              <w:t>Donnington Recreation Ground</w:t>
            </w:r>
          </w:p>
        </w:tc>
        <w:tc>
          <w:tcPr>
            <w:tcW w:w="1215"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color w:val="000000"/>
                <w:lang w:eastAsia="en-GB"/>
              </w:rPr>
            </w:pPr>
            <w:r w:rsidRPr="00687C99">
              <w:rPr>
                <w:rFonts w:cs="Arial"/>
                <w:color w:val="000000"/>
                <w:lang w:eastAsia="en-GB"/>
              </w:rPr>
              <w:t>45</w:t>
            </w:r>
          </w:p>
        </w:tc>
        <w:tc>
          <w:tcPr>
            <w:tcW w:w="1215"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Cs/>
                <w:color w:val="000000"/>
                <w:lang w:eastAsia="en-GB"/>
              </w:rPr>
            </w:pPr>
          </w:p>
        </w:tc>
      </w:tr>
      <w:tr w:rsidR="00363723" w:rsidRPr="00687C99" w:rsidTr="00AF1B7D">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363723" w:rsidRPr="00687C99" w:rsidRDefault="00363723" w:rsidP="00513B51">
            <w:pPr>
              <w:tabs>
                <w:tab w:val="left" w:pos="7938"/>
              </w:tabs>
              <w:rPr>
                <w:rFonts w:cs="Arial"/>
                <w:bCs/>
                <w:color w:val="000000"/>
                <w:lang w:eastAsia="en-GB"/>
              </w:rPr>
            </w:pPr>
            <w:r w:rsidRPr="00687C99">
              <w:rPr>
                <w:rFonts w:cs="Arial"/>
                <w:bCs/>
                <w:color w:val="000000"/>
                <w:lang w:eastAsia="en-GB"/>
              </w:rPr>
              <w:t>Barton Phase 1 (1)</w:t>
            </w:r>
          </w:p>
        </w:tc>
        <w:tc>
          <w:tcPr>
            <w:tcW w:w="1215"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Cs/>
                <w:color w:val="000000"/>
                <w:lang w:eastAsia="en-GB"/>
              </w:rPr>
            </w:pPr>
          </w:p>
        </w:tc>
        <w:tc>
          <w:tcPr>
            <w:tcW w:w="1215"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Cs/>
                <w:color w:val="000000"/>
                <w:lang w:eastAsia="en-GB"/>
              </w:rPr>
            </w:pPr>
            <w:r w:rsidRPr="00687C99">
              <w:rPr>
                <w:rFonts w:cs="Arial"/>
                <w:bCs/>
                <w:color w:val="000000"/>
                <w:lang w:eastAsia="en-GB"/>
              </w:rPr>
              <w:t>8,440</w:t>
            </w:r>
          </w:p>
        </w:tc>
        <w:tc>
          <w:tcPr>
            <w:tcW w:w="1348"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Cs/>
                <w:color w:val="000000"/>
                <w:lang w:eastAsia="en-GB"/>
              </w:rPr>
            </w:pPr>
            <w:r w:rsidRPr="00687C99">
              <w:rPr>
                <w:rFonts w:cs="Arial"/>
                <w:bCs/>
                <w:color w:val="000000"/>
                <w:lang w:eastAsia="en-GB"/>
              </w:rPr>
              <w:t>2,455</w:t>
            </w:r>
          </w:p>
        </w:tc>
        <w:tc>
          <w:tcPr>
            <w:tcW w:w="1348"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Cs/>
                <w:color w:val="000000"/>
                <w:lang w:eastAsia="en-GB"/>
              </w:rPr>
            </w:pPr>
            <w:r w:rsidRPr="00687C99">
              <w:rPr>
                <w:rFonts w:cs="Arial"/>
                <w:bCs/>
                <w:color w:val="000000"/>
                <w:lang w:eastAsia="en-GB"/>
              </w:rPr>
              <w:t>-</w:t>
            </w:r>
          </w:p>
        </w:tc>
      </w:tr>
      <w:tr w:rsidR="00363723" w:rsidRPr="00687C99" w:rsidTr="00AF1B7D">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363723" w:rsidRPr="00687C99" w:rsidRDefault="00363723" w:rsidP="00513B51">
            <w:pPr>
              <w:tabs>
                <w:tab w:val="left" w:pos="7938"/>
              </w:tabs>
              <w:rPr>
                <w:rFonts w:cs="Arial"/>
                <w:bCs/>
                <w:color w:val="000000"/>
                <w:lang w:eastAsia="en-GB"/>
              </w:rPr>
            </w:pPr>
            <w:r w:rsidRPr="00687C99">
              <w:rPr>
                <w:rFonts w:cs="Arial"/>
                <w:bCs/>
                <w:color w:val="000000"/>
                <w:lang w:eastAsia="en-GB"/>
              </w:rPr>
              <w:t>Barton Phase 2  (2)</w:t>
            </w:r>
          </w:p>
        </w:tc>
        <w:tc>
          <w:tcPr>
            <w:tcW w:w="1215"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Cs/>
                <w:color w:val="000000"/>
                <w:lang w:eastAsia="en-GB"/>
              </w:rPr>
            </w:pPr>
          </w:p>
        </w:tc>
        <w:tc>
          <w:tcPr>
            <w:tcW w:w="1215"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Cs/>
                <w:color w:val="000000"/>
                <w:lang w:eastAsia="en-GB"/>
              </w:rPr>
            </w:pPr>
            <w:r w:rsidRPr="00687C99">
              <w:rPr>
                <w:rFonts w:cs="Arial"/>
                <w:bCs/>
                <w:color w:val="000000"/>
                <w:lang w:eastAsia="en-GB"/>
              </w:rPr>
              <w:t>10,329</w:t>
            </w:r>
          </w:p>
        </w:tc>
      </w:tr>
      <w:tr w:rsidR="00363723" w:rsidRPr="00687C99" w:rsidTr="00AF1B7D">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363723" w:rsidRPr="00687C99" w:rsidRDefault="00363723" w:rsidP="00513B51">
            <w:pPr>
              <w:tabs>
                <w:tab w:val="left" w:pos="7938"/>
              </w:tabs>
              <w:rPr>
                <w:rFonts w:cs="Arial"/>
                <w:bCs/>
                <w:color w:val="000000"/>
                <w:lang w:eastAsia="en-GB"/>
              </w:rPr>
            </w:pPr>
            <w:r w:rsidRPr="00687C99">
              <w:rPr>
                <w:rFonts w:cs="Arial"/>
                <w:bCs/>
                <w:color w:val="000000"/>
                <w:lang w:eastAsia="en-GB"/>
              </w:rPr>
              <w:t>Change</w:t>
            </w:r>
            <w:r w:rsidR="007A2F94" w:rsidRPr="00687C99">
              <w:rPr>
                <w:rFonts w:cs="Arial"/>
                <w:bCs/>
                <w:color w:val="000000"/>
                <w:lang w:eastAsia="en-GB"/>
              </w:rPr>
              <w:t>s in loans to Housing Company (3</w:t>
            </w:r>
            <w:r w:rsidRPr="00687C99">
              <w:rPr>
                <w:rFonts w:cs="Arial"/>
                <w:bCs/>
                <w:color w:val="000000"/>
                <w:lang w:eastAsia="en-GB"/>
              </w:rPr>
              <w:t>)</w:t>
            </w:r>
          </w:p>
        </w:tc>
        <w:tc>
          <w:tcPr>
            <w:tcW w:w="1215"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Cs/>
                <w:color w:val="000000"/>
                <w:lang w:eastAsia="en-GB"/>
              </w:rPr>
            </w:pPr>
            <w:r w:rsidRPr="00687C99">
              <w:rPr>
                <w:rFonts w:cs="Arial"/>
                <w:color w:val="000000"/>
                <w:lang w:eastAsia="en-GB"/>
              </w:rPr>
              <w:t>-</w:t>
            </w:r>
          </w:p>
        </w:tc>
        <w:tc>
          <w:tcPr>
            <w:tcW w:w="1215"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Cs/>
                <w:color w:val="000000"/>
                <w:lang w:eastAsia="en-GB"/>
              </w:rPr>
            </w:pPr>
            <w:r w:rsidRPr="00687C99">
              <w:rPr>
                <w:rFonts w:cs="Arial"/>
                <w:color w:val="000000"/>
                <w:lang w:eastAsia="en-GB"/>
              </w:rPr>
              <w:t>(1,000)</w:t>
            </w:r>
          </w:p>
        </w:tc>
        <w:tc>
          <w:tcPr>
            <w:tcW w:w="1348"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Cs/>
                <w:color w:val="000000"/>
                <w:lang w:eastAsia="en-GB"/>
              </w:rPr>
            </w:pPr>
            <w:r w:rsidRPr="00687C99">
              <w:rPr>
                <w:rFonts w:cs="Arial"/>
                <w:color w:val="000000"/>
                <w:lang w:eastAsia="en-GB"/>
              </w:rPr>
              <w:t>1,000</w:t>
            </w:r>
          </w:p>
        </w:tc>
        <w:tc>
          <w:tcPr>
            <w:tcW w:w="1348"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Cs/>
                <w:color w:val="000000"/>
                <w:lang w:eastAsia="en-GB"/>
              </w:rPr>
            </w:pPr>
            <w:r w:rsidRPr="00687C99">
              <w:rPr>
                <w:rFonts w:cs="Arial"/>
                <w:color w:val="000000"/>
                <w:lang w:eastAsia="en-GB"/>
              </w:rPr>
              <w:t>1,000</w:t>
            </w:r>
          </w:p>
        </w:tc>
      </w:tr>
      <w:tr w:rsidR="00363723" w:rsidRPr="00687C99"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363723" w:rsidRPr="00687C99" w:rsidRDefault="00363723" w:rsidP="00513B51">
            <w:pPr>
              <w:tabs>
                <w:tab w:val="left" w:pos="7938"/>
              </w:tabs>
              <w:rPr>
                <w:rFonts w:cs="Arial"/>
                <w:bCs/>
                <w:color w:val="000000"/>
                <w:lang w:eastAsia="en-GB"/>
              </w:rPr>
            </w:pPr>
            <w:r w:rsidRPr="00687C99">
              <w:rPr>
                <w:rFonts w:cs="Arial"/>
                <w:bCs/>
                <w:color w:val="000000"/>
                <w:lang w:eastAsia="en-GB"/>
              </w:rPr>
              <w:t>Go Ultra Low – Taxis</w:t>
            </w:r>
            <w:r w:rsidR="007A2F94" w:rsidRPr="00687C99">
              <w:rPr>
                <w:rFonts w:cs="Arial"/>
                <w:bCs/>
                <w:color w:val="000000"/>
                <w:lang w:eastAsia="en-GB"/>
              </w:rPr>
              <w:t xml:space="preserve"> (4</w:t>
            </w:r>
            <w:r w:rsidR="009D551B" w:rsidRPr="00687C99">
              <w:rPr>
                <w:rFonts w:cs="Arial"/>
                <w:bCs/>
                <w:color w:val="000000"/>
                <w:lang w:eastAsia="en-GB"/>
              </w:rPr>
              <w:t>)</w:t>
            </w:r>
          </w:p>
        </w:tc>
        <w:tc>
          <w:tcPr>
            <w:tcW w:w="1215"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Cs/>
                <w:color w:val="000000"/>
                <w:lang w:eastAsia="en-GB"/>
              </w:rPr>
            </w:pPr>
            <w:r w:rsidRPr="00687C99">
              <w:rPr>
                <w:rFonts w:cs="Arial"/>
                <w:bCs/>
                <w:color w:val="000000"/>
                <w:lang w:eastAsia="en-GB"/>
              </w:rPr>
              <w:t>35</w:t>
            </w:r>
          </w:p>
        </w:tc>
        <w:tc>
          <w:tcPr>
            <w:tcW w:w="1215"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Cs/>
                <w:color w:val="000000"/>
                <w:lang w:eastAsia="en-GB"/>
              </w:rPr>
            </w:pPr>
            <w:r w:rsidRPr="00687C99">
              <w:rPr>
                <w:rFonts w:cs="Arial"/>
                <w:bCs/>
                <w:color w:val="000000"/>
                <w:lang w:eastAsia="en-GB"/>
              </w:rPr>
              <w:t>35</w:t>
            </w:r>
          </w:p>
        </w:tc>
        <w:tc>
          <w:tcPr>
            <w:tcW w:w="1348"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Cs/>
                <w:color w:val="000000"/>
                <w:lang w:eastAsia="en-GB"/>
              </w:rPr>
            </w:pPr>
            <w:r w:rsidRPr="00687C99">
              <w:rPr>
                <w:rFonts w:cs="Arial"/>
                <w:bCs/>
                <w:color w:val="000000"/>
                <w:lang w:eastAsia="en-GB"/>
              </w:rPr>
              <w:t>35</w:t>
            </w:r>
          </w:p>
        </w:tc>
        <w:tc>
          <w:tcPr>
            <w:tcW w:w="1348"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Cs/>
                <w:color w:val="000000"/>
                <w:lang w:eastAsia="en-GB"/>
              </w:rPr>
            </w:pPr>
            <w:r w:rsidRPr="00687C99">
              <w:rPr>
                <w:rFonts w:cs="Arial"/>
                <w:bCs/>
                <w:color w:val="000000"/>
                <w:lang w:eastAsia="en-GB"/>
              </w:rPr>
              <w:t>0</w:t>
            </w:r>
          </w:p>
        </w:tc>
      </w:tr>
      <w:tr w:rsidR="00363723" w:rsidRPr="00687C99"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363723" w:rsidRPr="00687C99" w:rsidRDefault="00363723" w:rsidP="00513B51">
            <w:pPr>
              <w:tabs>
                <w:tab w:val="left" w:pos="7938"/>
              </w:tabs>
              <w:rPr>
                <w:rFonts w:cs="Arial"/>
                <w:bCs/>
                <w:color w:val="000000"/>
                <w:lang w:eastAsia="en-GB"/>
              </w:rPr>
            </w:pPr>
            <w:r w:rsidRPr="00687C99">
              <w:rPr>
                <w:rFonts w:cs="Arial"/>
                <w:bCs/>
                <w:color w:val="000000"/>
                <w:lang w:eastAsia="en-GB"/>
              </w:rPr>
              <w:t>Teachers Loans</w:t>
            </w:r>
            <w:r w:rsidR="007A2F94" w:rsidRPr="00687C99">
              <w:rPr>
                <w:rFonts w:cs="Arial"/>
                <w:bCs/>
                <w:color w:val="000000"/>
                <w:lang w:eastAsia="en-GB"/>
              </w:rPr>
              <w:t xml:space="preserve"> (5</w:t>
            </w:r>
            <w:r w:rsidR="00513B51" w:rsidRPr="00687C99">
              <w:rPr>
                <w:rFonts w:cs="Arial"/>
                <w:bCs/>
                <w:color w:val="000000"/>
                <w:lang w:eastAsia="en-GB"/>
              </w:rPr>
              <w:t>)</w:t>
            </w:r>
          </w:p>
        </w:tc>
        <w:tc>
          <w:tcPr>
            <w:tcW w:w="1215"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Cs/>
                <w:color w:val="000000"/>
                <w:lang w:eastAsia="en-GB"/>
              </w:rPr>
            </w:pPr>
            <w:r w:rsidRPr="00687C99">
              <w:rPr>
                <w:rFonts w:cs="Arial"/>
                <w:bCs/>
                <w:color w:val="000000"/>
                <w:lang w:eastAsia="en-GB"/>
              </w:rPr>
              <w:t>-</w:t>
            </w:r>
          </w:p>
        </w:tc>
        <w:tc>
          <w:tcPr>
            <w:tcW w:w="1215"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Cs/>
                <w:color w:val="000000"/>
                <w:lang w:eastAsia="en-GB"/>
              </w:rPr>
            </w:pPr>
            <w:r w:rsidRPr="00687C99">
              <w:rPr>
                <w:rFonts w:cs="Arial"/>
                <w:bCs/>
                <w:color w:val="000000"/>
                <w:lang w:eastAsia="en-GB"/>
              </w:rPr>
              <w:t>100</w:t>
            </w:r>
          </w:p>
        </w:tc>
        <w:tc>
          <w:tcPr>
            <w:tcW w:w="1348"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Cs/>
                <w:color w:val="000000"/>
                <w:lang w:eastAsia="en-GB"/>
              </w:rPr>
            </w:pPr>
            <w:r w:rsidRPr="00687C99">
              <w:rPr>
                <w:rFonts w:cs="Arial"/>
                <w:bCs/>
                <w:color w:val="000000"/>
                <w:lang w:eastAsia="en-GB"/>
              </w:rPr>
              <w:t>-</w:t>
            </w:r>
          </w:p>
        </w:tc>
        <w:tc>
          <w:tcPr>
            <w:tcW w:w="1348"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Cs/>
                <w:color w:val="000000"/>
                <w:lang w:eastAsia="en-GB"/>
              </w:rPr>
            </w:pPr>
            <w:r w:rsidRPr="00687C99">
              <w:rPr>
                <w:rFonts w:cs="Arial"/>
                <w:bCs/>
                <w:color w:val="000000"/>
                <w:lang w:eastAsia="en-GB"/>
              </w:rPr>
              <w:t>-</w:t>
            </w:r>
          </w:p>
        </w:tc>
      </w:tr>
      <w:tr w:rsidR="00363723" w:rsidRPr="00687C99"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363723" w:rsidRPr="00687C99" w:rsidRDefault="00363723" w:rsidP="00513B51">
            <w:pPr>
              <w:tabs>
                <w:tab w:val="left" w:pos="7938"/>
              </w:tabs>
              <w:rPr>
                <w:rFonts w:cs="Arial"/>
                <w:bCs/>
                <w:color w:val="000000"/>
                <w:lang w:eastAsia="en-GB"/>
              </w:rPr>
            </w:pPr>
            <w:r w:rsidRPr="00687C99">
              <w:rPr>
                <w:rFonts w:cs="Arial"/>
                <w:bCs/>
                <w:color w:val="000000"/>
                <w:lang w:eastAsia="en-GB"/>
              </w:rPr>
              <w:t>Solar bins</w:t>
            </w:r>
          </w:p>
        </w:tc>
        <w:tc>
          <w:tcPr>
            <w:tcW w:w="1215"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
                <w:bCs/>
                <w:color w:val="000000"/>
                <w:lang w:eastAsia="en-GB"/>
              </w:rPr>
            </w:pPr>
            <w:r w:rsidRPr="00687C99">
              <w:rPr>
                <w:rFonts w:cs="Arial"/>
                <w:b/>
                <w:bCs/>
                <w:color w:val="000000"/>
                <w:lang w:eastAsia="en-GB"/>
              </w:rPr>
              <w:t>-</w:t>
            </w:r>
          </w:p>
        </w:tc>
        <w:tc>
          <w:tcPr>
            <w:tcW w:w="1215"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
                <w:bCs/>
                <w:color w:val="000000"/>
                <w:lang w:eastAsia="en-GB"/>
              </w:rPr>
            </w:pPr>
            <w:r w:rsidRPr="00687C99">
              <w:rPr>
                <w:rFonts w:cs="Arial"/>
                <w:b/>
                <w:bCs/>
                <w:color w:val="000000"/>
                <w:lang w:eastAsia="en-GB"/>
              </w:rPr>
              <w:t>-</w:t>
            </w:r>
          </w:p>
        </w:tc>
        <w:tc>
          <w:tcPr>
            <w:tcW w:w="1348"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Cs/>
                <w:color w:val="000000"/>
                <w:lang w:eastAsia="en-GB"/>
              </w:rPr>
            </w:pPr>
            <w:r w:rsidRPr="00687C99">
              <w:rPr>
                <w:rFonts w:cs="Arial"/>
                <w:bCs/>
                <w:color w:val="000000"/>
                <w:lang w:eastAsia="en-GB"/>
              </w:rPr>
              <w:t>(5)</w:t>
            </w:r>
          </w:p>
        </w:tc>
        <w:tc>
          <w:tcPr>
            <w:tcW w:w="1348"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Cs/>
                <w:color w:val="000000"/>
                <w:lang w:eastAsia="en-GB"/>
              </w:rPr>
            </w:pPr>
            <w:r w:rsidRPr="00687C99">
              <w:rPr>
                <w:rFonts w:cs="Arial"/>
                <w:bCs/>
                <w:color w:val="000000"/>
                <w:lang w:eastAsia="en-GB"/>
              </w:rPr>
              <w:t>-</w:t>
            </w:r>
          </w:p>
        </w:tc>
      </w:tr>
      <w:tr w:rsidR="00363723" w:rsidRPr="00687C99"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363723" w:rsidRPr="00687C99" w:rsidRDefault="00363723" w:rsidP="00513B51">
            <w:pPr>
              <w:tabs>
                <w:tab w:val="left" w:pos="7938"/>
              </w:tabs>
              <w:rPr>
                <w:rFonts w:cs="Arial"/>
                <w:bCs/>
                <w:color w:val="000000"/>
                <w:lang w:eastAsia="en-GB"/>
              </w:rPr>
            </w:pPr>
            <w:r w:rsidRPr="00687C99">
              <w:rPr>
                <w:rFonts w:cs="Arial"/>
                <w:bCs/>
                <w:color w:val="000000"/>
                <w:lang w:eastAsia="en-GB"/>
              </w:rPr>
              <w:t>Car park resurfacing</w:t>
            </w:r>
            <w:r w:rsidR="007A2F94" w:rsidRPr="00687C99">
              <w:rPr>
                <w:rFonts w:cs="Arial"/>
                <w:bCs/>
                <w:color w:val="000000"/>
                <w:lang w:eastAsia="en-GB"/>
              </w:rPr>
              <w:t xml:space="preserve"> (6</w:t>
            </w:r>
            <w:r w:rsidR="0070180F" w:rsidRPr="00687C99">
              <w:rPr>
                <w:rFonts w:cs="Arial"/>
                <w:bCs/>
                <w:color w:val="000000"/>
                <w:lang w:eastAsia="en-GB"/>
              </w:rPr>
              <w:t>)</w:t>
            </w:r>
          </w:p>
        </w:tc>
        <w:tc>
          <w:tcPr>
            <w:tcW w:w="1215"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Cs/>
                <w:color w:val="000000"/>
                <w:lang w:eastAsia="en-GB"/>
              </w:rPr>
            </w:pPr>
            <w:r w:rsidRPr="00687C99">
              <w:rPr>
                <w:rFonts w:cs="Arial"/>
                <w:bCs/>
                <w:color w:val="000000"/>
                <w:lang w:eastAsia="en-GB"/>
              </w:rPr>
              <w:t>-</w:t>
            </w:r>
          </w:p>
        </w:tc>
        <w:tc>
          <w:tcPr>
            <w:tcW w:w="1215"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Cs/>
                <w:color w:val="000000"/>
                <w:lang w:eastAsia="en-GB"/>
              </w:rPr>
            </w:pPr>
            <w:r w:rsidRPr="00687C99">
              <w:rPr>
                <w:rFonts w:cs="Arial"/>
                <w:bCs/>
                <w:color w:val="000000"/>
                <w:lang w:eastAsia="en-GB"/>
              </w:rPr>
              <w:t>(50)</w:t>
            </w:r>
          </w:p>
        </w:tc>
        <w:tc>
          <w:tcPr>
            <w:tcW w:w="1348"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Cs/>
                <w:color w:val="000000"/>
                <w:lang w:eastAsia="en-GB"/>
              </w:rPr>
            </w:pPr>
            <w:r w:rsidRPr="00687C99">
              <w:rPr>
                <w:rFonts w:cs="Arial"/>
                <w:bCs/>
                <w:color w:val="000000"/>
                <w:lang w:eastAsia="en-GB"/>
              </w:rPr>
              <w:t>(50)</w:t>
            </w:r>
          </w:p>
        </w:tc>
        <w:tc>
          <w:tcPr>
            <w:tcW w:w="1348"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Cs/>
                <w:color w:val="000000"/>
                <w:lang w:eastAsia="en-GB"/>
              </w:rPr>
            </w:pPr>
            <w:r w:rsidRPr="00687C99">
              <w:rPr>
                <w:rFonts w:cs="Arial"/>
                <w:bCs/>
                <w:color w:val="000000"/>
                <w:lang w:eastAsia="en-GB"/>
              </w:rPr>
              <w:t>(38)</w:t>
            </w:r>
          </w:p>
        </w:tc>
      </w:tr>
      <w:tr w:rsidR="00363723" w:rsidRPr="00687C99"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363723" w:rsidRPr="00687C99" w:rsidRDefault="00363723" w:rsidP="00513B51">
            <w:pPr>
              <w:tabs>
                <w:tab w:val="left" w:pos="7938"/>
              </w:tabs>
              <w:rPr>
                <w:rFonts w:cs="Arial"/>
                <w:b/>
                <w:bCs/>
                <w:color w:val="000000"/>
                <w:lang w:eastAsia="en-GB"/>
              </w:rPr>
            </w:pPr>
          </w:p>
        </w:tc>
        <w:tc>
          <w:tcPr>
            <w:tcW w:w="1215"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
                <w:bCs/>
                <w:color w:val="000000"/>
                <w:lang w:eastAsia="en-GB"/>
              </w:rPr>
            </w:pPr>
          </w:p>
        </w:tc>
        <w:tc>
          <w:tcPr>
            <w:tcW w:w="1215"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
                <w:bCs/>
                <w:color w:val="000000"/>
                <w:lang w:eastAsia="en-GB"/>
              </w:rPr>
            </w:pPr>
          </w:p>
        </w:tc>
      </w:tr>
      <w:tr w:rsidR="00363723" w:rsidRPr="00687C99"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hideMark/>
          </w:tcPr>
          <w:p w:rsidR="00363723" w:rsidRPr="00687C99" w:rsidRDefault="00363723" w:rsidP="00513B51">
            <w:pPr>
              <w:tabs>
                <w:tab w:val="left" w:pos="7938"/>
              </w:tabs>
              <w:rPr>
                <w:rFonts w:cs="Arial"/>
                <w:b/>
                <w:bCs/>
                <w:color w:val="000000"/>
                <w:lang w:eastAsia="en-GB"/>
              </w:rPr>
            </w:pPr>
            <w:r w:rsidRPr="00687C99">
              <w:rPr>
                <w:rFonts w:cs="Arial"/>
                <w:b/>
                <w:bCs/>
                <w:color w:val="000000"/>
                <w:lang w:eastAsia="en-GB"/>
              </w:rPr>
              <w:t>Total General Fund</w:t>
            </w:r>
          </w:p>
        </w:tc>
        <w:tc>
          <w:tcPr>
            <w:tcW w:w="1215" w:type="dxa"/>
            <w:tcBorders>
              <w:top w:val="nil"/>
              <w:left w:val="nil"/>
              <w:bottom w:val="single" w:sz="4" w:space="0" w:color="auto"/>
              <w:right w:val="single" w:sz="4" w:space="0" w:color="auto"/>
            </w:tcBorders>
            <w:shd w:val="clear" w:color="auto" w:fill="auto"/>
            <w:noWrap/>
            <w:vAlign w:val="bottom"/>
          </w:tcPr>
          <w:p w:rsidR="00363723" w:rsidRPr="00687C99" w:rsidRDefault="00363723" w:rsidP="007A2F94">
            <w:pPr>
              <w:tabs>
                <w:tab w:val="left" w:pos="7938"/>
              </w:tabs>
              <w:jc w:val="right"/>
              <w:rPr>
                <w:rFonts w:cs="Arial"/>
                <w:b/>
                <w:bCs/>
                <w:color w:val="000000"/>
                <w:lang w:eastAsia="en-GB"/>
              </w:rPr>
            </w:pPr>
            <w:r w:rsidRPr="00687C99">
              <w:rPr>
                <w:rFonts w:cs="Arial"/>
                <w:b/>
                <w:bCs/>
                <w:color w:val="000000"/>
                <w:lang w:eastAsia="en-GB"/>
              </w:rPr>
              <w:t>4</w:t>
            </w:r>
            <w:r w:rsidR="007A2F94" w:rsidRPr="00687C99">
              <w:rPr>
                <w:rFonts w:cs="Arial"/>
                <w:b/>
                <w:bCs/>
                <w:color w:val="000000"/>
                <w:lang w:eastAsia="en-GB"/>
              </w:rPr>
              <w:t>0,939</w:t>
            </w:r>
          </w:p>
        </w:tc>
        <w:tc>
          <w:tcPr>
            <w:tcW w:w="1215" w:type="dxa"/>
            <w:tcBorders>
              <w:top w:val="nil"/>
              <w:left w:val="nil"/>
              <w:bottom w:val="single" w:sz="4" w:space="0" w:color="auto"/>
              <w:right w:val="single" w:sz="4" w:space="0" w:color="auto"/>
            </w:tcBorders>
            <w:shd w:val="clear" w:color="auto" w:fill="auto"/>
            <w:noWrap/>
            <w:vAlign w:val="bottom"/>
          </w:tcPr>
          <w:p w:rsidR="00363723" w:rsidRPr="00687C99" w:rsidRDefault="00363723" w:rsidP="007A2F94">
            <w:pPr>
              <w:tabs>
                <w:tab w:val="left" w:pos="7938"/>
              </w:tabs>
              <w:jc w:val="right"/>
              <w:rPr>
                <w:rFonts w:cs="Arial"/>
                <w:b/>
                <w:bCs/>
                <w:color w:val="000000"/>
                <w:lang w:eastAsia="en-GB"/>
              </w:rPr>
            </w:pPr>
            <w:r w:rsidRPr="00687C99">
              <w:rPr>
                <w:rFonts w:cs="Arial"/>
                <w:b/>
                <w:bCs/>
                <w:color w:val="000000"/>
                <w:lang w:eastAsia="en-GB"/>
              </w:rPr>
              <w:t>5</w:t>
            </w:r>
            <w:r w:rsidR="007A2F94" w:rsidRPr="00687C99">
              <w:rPr>
                <w:rFonts w:cs="Arial"/>
                <w:b/>
                <w:bCs/>
                <w:color w:val="000000"/>
                <w:lang w:eastAsia="en-GB"/>
              </w:rPr>
              <w:t>0</w:t>
            </w:r>
            <w:r w:rsidRPr="00687C99">
              <w:rPr>
                <w:rFonts w:cs="Arial"/>
                <w:b/>
                <w:bCs/>
                <w:color w:val="000000"/>
                <w:lang w:eastAsia="en-GB"/>
              </w:rPr>
              <w:t>,</w:t>
            </w:r>
            <w:r w:rsidR="007A2F94" w:rsidRPr="00687C99">
              <w:rPr>
                <w:rFonts w:cs="Arial"/>
                <w:b/>
                <w:bCs/>
                <w:color w:val="000000"/>
                <w:lang w:eastAsia="en-GB"/>
              </w:rPr>
              <w:t>505</w:t>
            </w:r>
          </w:p>
        </w:tc>
        <w:tc>
          <w:tcPr>
            <w:tcW w:w="1348" w:type="dxa"/>
            <w:tcBorders>
              <w:top w:val="nil"/>
              <w:left w:val="nil"/>
              <w:bottom w:val="single" w:sz="4" w:space="0" w:color="auto"/>
              <w:right w:val="single" w:sz="4" w:space="0" w:color="auto"/>
            </w:tcBorders>
            <w:shd w:val="clear" w:color="auto" w:fill="auto"/>
            <w:noWrap/>
            <w:vAlign w:val="bottom"/>
          </w:tcPr>
          <w:p w:rsidR="00363723" w:rsidRPr="00687C99" w:rsidRDefault="00363723" w:rsidP="007A2F94">
            <w:pPr>
              <w:tabs>
                <w:tab w:val="left" w:pos="7938"/>
              </w:tabs>
              <w:jc w:val="right"/>
              <w:rPr>
                <w:rFonts w:cs="Arial"/>
                <w:b/>
                <w:bCs/>
                <w:color w:val="000000"/>
                <w:lang w:eastAsia="en-GB"/>
              </w:rPr>
            </w:pPr>
            <w:r w:rsidRPr="00687C99">
              <w:rPr>
                <w:rFonts w:cs="Arial"/>
                <w:b/>
                <w:bCs/>
                <w:color w:val="000000"/>
                <w:lang w:eastAsia="en-GB"/>
              </w:rPr>
              <w:t>2</w:t>
            </w:r>
            <w:r w:rsidR="007A2F94" w:rsidRPr="00687C99">
              <w:rPr>
                <w:rFonts w:cs="Arial"/>
                <w:b/>
                <w:bCs/>
                <w:color w:val="000000"/>
                <w:lang w:eastAsia="en-GB"/>
              </w:rPr>
              <w:t>5</w:t>
            </w:r>
            <w:r w:rsidRPr="00687C99">
              <w:rPr>
                <w:rFonts w:cs="Arial"/>
                <w:b/>
                <w:bCs/>
                <w:color w:val="000000"/>
                <w:lang w:eastAsia="en-GB"/>
              </w:rPr>
              <w:t>,</w:t>
            </w:r>
            <w:r w:rsidR="007A2F94" w:rsidRPr="00687C99">
              <w:rPr>
                <w:rFonts w:cs="Arial"/>
                <w:b/>
                <w:bCs/>
                <w:color w:val="000000"/>
                <w:lang w:eastAsia="en-GB"/>
              </w:rPr>
              <w:t>588</w:t>
            </w:r>
          </w:p>
        </w:tc>
        <w:tc>
          <w:tcPr>
            <w:tcW w:w="1348" w:type="dxa"/>
            <w:tcBorders>
              <w:top w:val="nil"/>
              <w:left w:val="nil"/>
              <w:bottom w:val="single" w:sz="4" w:space="0" w:color="auto"/>
              <w:right w:val="single" w:sz="4" w:space="0" w:color="auto"/>
            </w:tcBorders>
            <w:shd w:val="clear" w:color="auto" w:fill="auto"/>
            <w:noWrap/>
            <w:vAlign w:val="bottom"/>
          </w:tcPr>
          <w:p w:rsidR="00363723" w:rsidRPr="00687C99" w:rsidRDefault="00363723" w:rsidP="007A2F94">
            <w:pPr>
              <w:tabs>
                <w:tab w:val="left" w:pos="7938"/>
              </w:tabs>
              <w:jc w:val="right"/>
              <w:rPr>
                <w:rFonts w:cs="Arial"/>
                <w:b/>
                <w:bCs/>
                <w:color w:val="000000"/>
                <w:lang w:eastAsia="en-GB"/>
              </w:rPr>
            </w:pPr>
            <w:r w:rsidRPr="00687C99">
              <w:rPr>
                <w:rFonts w:cs="Arial"/>
                <w:b/>
                <w:bCs/>
                <w:color w:val="000000"/>
                <w:lang w:eastAsia="en-GB"/>
              </w:rPr>
              <w:t>27,</w:t>
            </w:r>
            <w:r w:rsidR="007A2F94" w:rsidRPr="00687C99">
              <w:rPr>
                <w:rFonts w:cs="Arial"/>
                <w:b/>
                <w:bCs/>
                <w:color w:val="000000"/>
                <w:lang w:eastAsia="en-GB"/>
              </w:rPr>
              <w:t>821</w:t>
            </w:r>
          </w:p>
        </w:tc>
      </w:tr>
      <w:tr w:rsidR="00363723" w:rsidRPr="00687C99" w:rsidTr="00AF1B7D">
        <w:trPr>
          <w:trHeight w:val="300"/>
        </w:trPr>
        <w:tc>
          <w:tcPr>
            <w:tcW w:w="3358" w:type="dxa"/>
            <w:tcBorders>
              <w:top w:val="nil"/>
              <w:left w:val="single" w:sz="4" w:space="0" w:color="auto"/>
              <w:bottom w:val="single" w:sz="4" w:space="0" w:color="auto"/>
              <w:right w:val="single" w:sz="4" w:space="0" w:color="auto"/>
            </w:tcBorders>
            <w:shd w:val="clear" w:color="000000" w:fill="D9D9D9"/>
            <w:vAlign w:val="bottom"/>
            <w:hideMark/>
          </w:tcPr>
          <w:p w:rsidR="00363723" w:rsidRPr="00687C99" w:rsidRDefault="00363723" w:rsidP="00513B51">
            <w:pPr>
              <w:tabs>
                <w:tab w:val="left" w:pos="7938"/>
              </w:tabs>
              <w:rPr>
                <w:rFonts w:cs="Arial"/>
                <w:b/>
                <w:bCs/>
                <w:color w:val="000000"/>
                <w:lang w:eastAsia="en-GB"/>
              </w:rPr>
            </w:pPr>
            <w:r w:rsidRPr="00687C99">
              <w:rPr>
                <w:rFonts w:cs="Arial"/>
                <w:b/>
                <w:bCs/>
                <w:color w:val="000000"/>
                <w:lang w:eastAsia="en-GB"/>
              </w:rPr>
              <w:t>HRA</w:t>
            </w:r>
          </w:p>
        </w:tc>
        <w:tc>
          <w:tcPr>
            <w:tcW w:w="1215" w:type="dxa"/>
            <w:tcBorders>
              <w:top w:val="nil"/>
              <w:left w:val="nil"/>
              <w:bottom w:val="single" w:sz="4" w:space="0" w:color="auto"/>
              <w:right w:val="single" w:sz="4" w:space="0" w:color="auto"/>
            </w:tcBorders>
            <w:shd w:val="clear" w:color="auto" w:fill="auto"/>
            <w:noWrap/>
            <w:vAlign w:val="bottom"/>
            <w:hideMark/>
          </w:tcPr>
          <w:p w:rsidR="00363723" w:rsidRPr="00687C99" w:rsidRDefault="00363723" w:rsidP="00513B51">
            <w:pPr>
              <w:tabs>
                <w:tab w:val="left" w:pos="7938"/>
              </w:tabs>
              <w:rPr>
                <w:rFonts w:cs="Arial"/>
                <w:color w:val="000000"/>
                <w:lang w:eastAsia="en-GB"/>
              </w:rPr>
            </w:pPr>
            <w:r w:rsidRPr="00687C99">
              <w:rPr>
                <w:rFonts w:cs="Arial"/>
                <w:color w:val="000000"/>
                <w:lang w:eastAsia="en-GB"/>
              </w:rPr>
              <w:t> </w:t>
            </w:r>
          </w:p>
        </w:tc>
        <w:tc>
          <w:tcPr>
            <w:tcW w:w="1215" w:type="dxa"/>
            <w:tcBorders>
              <w:top w:val="nil"/>
              <w:left w:val="nil"/>
              <w:bottom w:val="single" w:sz="4" w:space="0" w:color="auto"/>
              <w:right w:val="single" w:sz="4" w:space="0" w:color="auto"/>
            </w:tcBorders>
            <w:shd w:val="clear" w:color="auto" w:fill="auto"/>
            <w:noWrap/>
            <w:vAlign w:val="bottom"/>
            <w:hideMark/>
          </w:tcPr>
          <w:p w:rsidR="00363723" w:rsidRPr="00687C99" w:rsidRDefault="00363723" w:rsidP="00513B51">
            <w:pPr>
              <w:tabs>
                <w:tab w:val="left" w:pos="7938"/>
              </w:tabs>
              <w:rPr>
                <w:rFonts w:cs="Arial"/>
                <w:color w:val="000000"/>
                <w:lang w:eastAsia="en-GB"/>
              </w:rPr>
            </w:pPr>
            <w:r w:rsidRPr="00687C99">
              <w:rPr>
                <w:rFonts w:cs="Arial"/>
                <w:color w:val="000000"/>
                <w:lang w:eastAsia="en-GB"/>
              </w:rPr>
              <w:t> </w:t>
            </w:r>
          </w:p>
        </w:tc>
        <w:tc>
          <w:tcPr>
            <w:tcW w:w="1348" w:type="dxa"/>
            <w:tcBorders>
              <w:top w:val="nil"/>
              <w:left w:val="nil"/>
              <w:bottom w:val="single" w:sz="4" w:space="0" w:color="auto"/>
              <w:right w:val="single" w:sz="4" w:space="0" w:color="auto"/>
            </w:tcBorders>
            <w:shd w:val="clear" w:color="auto" w:fill="auto"/>
            <w:noWrap/>
            <w:vAlign w:val="bottom"/>
            <w:hideMark/>
          </w:tcPr>
          <w:p w:rsidR="00363723" w:rsidRPr="00687C99" w:rsidRDefault="00363723" w:rsidP="00513B51">
            <w:pPr>
              <w:tabs>
                <w:tab w:val="left" w:pos="7938"/>
              </w:tabs>
              <w:rPr>
                <w:rFonts w:cs="Arial"/>
                <w:color w:val="000000"/>
                <w:lang w:eastAsia="en-GB"/>
              </w:rPr>
            </w:pPr>
            <w:r w:rsidRPr="00687C99">
              <w:rPr>
                <w:rFonts w:cs="Arial"/>
                <w:color w:val="000000"/>
                <w:lang w:eastAsia="en-GB"/>
              </w:rPr>
              <w:t> </w:t>
            </w:r>
          </w:p>
        </w:tc>
        <w:tc>
          <w:tcPr>
            <w:tcW w:w="1348" w:type="dxa"/>
            <w:tcBorders>
              <w:top w:val="nil"/>
              <w:left w:val="nil"/>
              <w:bottom w:val="single" w:sz="4" w:space="0" w:color="auto"/>
              <w:right w:val="single" w:sz="4" w:space="0" w:color="auto"/>
            </w:tcBorders>
            <w:shd w:val="clear" w:color="auto" w:fill="auto"/>
            <w:noWrap/>
            <w:vAlign w:val="bottom"/>
            <w:hideMark/>
          </w:tcPr>
          <w:p w:rsidR="00363723" w:rsidRPr="00687C99" w:rsidRDefault="00363723" w:rsidP="00513B51">
            <w:pPr>
              <w:tabs>
                <w:tab w:val="left" w:pos="7938"/>
              </w:tabs>
              <w:rPr>
                <w:rFonts w:cs="Arial"/>
                <w:color w:val="000000"/>
                <w:lang w:eastAsia="en-GB"/>
              </w:rPr>
            </w:pPr>
            <w:r w:rsidRPr="00687C99">
              <w:rPr>
                <w:rFonts w:cs="Arial"/>
                <w:color w:val="000000"/>
                <w:lang w:eastAsia="en-GB"/>
              </w:rPr>
              <w:t> </w:t>
            </w:r>
          </w:p>
        </w:tc>
      </w:tr>
      <w:tr w:rsidR="00363723" w:rsidRPr="00687C99"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hideMark/>
          </w:tcPr>
          <w:p w:rsidR="00363723" w:rsidRPr="00687C99" w:rsidRDefault="00363723" w:rsidP="007A2F94">
            <w:pPr>
              <w:tabs>
                <w:tab w:val="left" w:pos="7938"/>
              </w:tabs>
              <w:rPr>
                <w:rFonts w:cs="Arial"/>
                <w:b/>
                <w:bCs/>
                <w:color w:val="000000"/>
                <w:lang w:eastAsia="en-GB"/>
              </w:rPr>
            </w:pPr>
            <w:r w:rsidRPr="00687C99">
              <w:rPr>
                <w:rFonts w:cs="Arial"/>
                <w:b/>
                <w:bCs/>
                <w:color w:val="000000"/>
                <w:lang w:eastAsia="en-GB"/>
              </w:rPr>
              <w:t>Consultation Budget Spend</w:t>
            </w:r>
          </w:p>
        </w:tc>
        <w:tc>
          <w:tcPr>
            <w:tcW w:w="1215"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
                <w:bCs/>
                <w:color w:val="000000"/>
                <w:lang w:eastAsia="en-GB"/>
              </w:rPr>
            </w:pPr>
            <w:r w:rsidRPr="00687C99">
              <w:rPr>
                <w:rFonts w:cs="Arial"/>
                <w:b/>
                <w:bCs/>
                <w:color w:val="000000"/>
                <w:lang w:eastAsia="en-GB"/>
              </w:rPr>
              <w:t>19,900</w:t>
            </w:r>
          </w:p>
        </w:tc>
        <w:tc>
          <w:tcPr>
            <w:tcW w:w="1215"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
                <w:bCs/>
                <w:color w:val="000000"/>
                <w:lang w:eastAsia="en-GB"/>
              </w:rPr>
            </w:pPr>
            <w:r w:rsidRPr="00687C99">
              <w:rPr>
                <w:rFonts w:cs="Arial"/>
                <w:b/>
                <w:bCs/>
                <w:color w:val="000000"/>
                <w:lang w:eastAsia="en-GB"/>
              </w:rPr>
              <w:t>17,858</w:t>
            </w:r>
          </w:p>
        </w:tc>
        <w:tc>
          <w:tcPr>
            <w:tcW w:w="1348"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
                <w:bCs/>
                <w:color w:val="000000"/>
                <w:lang w:eastAsia="en-GB"/>
              </w:rPr>
            </w:pPr>
            <w:r w:rsidRPr="00687C99">
              <w:rPr>
                <w:rFonts w:cs="Arial"/>
                <w:b/>
                <w:bCs/>
                <w:color w:val="000000"/>
                <w:lang w:eastAsia="en-GB"/>
              </w:rPr>
              <w:t>17,946</w:t>
            </w:r>
          </w:p>
        </w:tc>
        <w:tc>
          <w:tcPr>
            <w:tcW w:w="1348"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
                <w:bCs/>
                <w:color w:val="000000"/>
                <w:lang w:eastAsia="en-GB"/>
              </w:rPr>
            </w:pPr>
            <w:r w:rsidRPr="00687C99">
              <w:rPr>
                <w:rFonts w:cs="Arial"/>
                <w:b/>
                <w:bCs/>
                <w:color w:val="000000"/>
                <w:lang w:eastAsia="en-GB"/>
              </w:rPr>
              <w:t>17,058</w:t>
            </w:r>
          </w:p>
        </w:tc>
      </w:tr>
      <w:tr w:rsidR="00363723" w:rsidRPr="00687C99"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363723" w:rsidRPr="00687C99" w:rsidRDefault="00363723" w:rsidP="00513B51">
            <w:pPr>
              <w:tabs>
                <w:tab w:val="left" w:pos="7938"/>
              </w:tabs>
              <w:rPr>
                <w:rFonts w:cs="Arial"/>
                <w:b/>
                <w:bCs/>
                <w:color w:val="000000"/>
                <w:lang w:eastAsia="en-GB"/>
              </w:rPr>
            </w:pPr>
            <w:r w:rsidRPr="00687C99">
              <w:rPr>
                <w:rFonts w:cs="Arial"/>
                <w:b/>
                <w:bCs/>
                <w:color w:val="000000"/>
                <w:lang w:eastAsia="en-GB"/>
              </w:rPr>
              <w:t>Additional Schemes</w:t>
            </w:r>
          </w:p>
        </w:tc>
        <w:tc>
          <w:tcPr>
            <w:tcW w:w="1215"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Cs/>
                <w:color w:val="000000"/>
                <w:lang w:eastAsia="en-GB"/>
              </w:rPr>
            </w:pPr>
          </w:p>
        </w:tc>
        <w:tc>
          <w:tcPr>
            <w:tcW w:w="1215"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
                <w:bCs/>
                <w:color w:val="000000"/>
                <w:lang w:eastAsia="en-GB"/>
              </w:rPr>
            </w:pPr>
          </w:p>
        </w:tc>
      </w:tr>
      <w:tr w:rsidR="00363723" w:rsidRPr="00687C99"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363723" w:rsidRPr="00687C99" w:rsidRDefault="00363723" w:rsidP="00513B51">
            <w:pPr>
              <w:tabs>
                <w:tab w:val="left" w:pos="7938"/>
              </w:tabs>
              <w:rPr>
                <w:rFonts w:cs="Arial"/>
                <w:bCs/>
                <w:color w:val="000000"/>
                <w:lang w:eastAsia="en-GB"/>
              </w:rPr>
            </w:pPr>
            <w:r w:rsidRPr="00687C99">
              <w:rPr>
                <w:rFonts w:cs="Arial"/>
                <w:bCs/>
                <w:color w:val="000000"/>
                <w:lang w:eastAsia="en-GB"/>
              </w:rPr>
              <w:t xml:space="preserve">Development at Bracegirdle and Salford Road </w:t>
            </w:r>
          </w:p>
        </w:tc>
        <w:tc>
          <w:tcPr>
            <w:tcW w:w="1215"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Cs/>
                <w:color w:val="000000"/>
                <w:lang w:eastAsia="en-GB"/>
              </w:rPr>
            </w:pPr>
            <w:r w:rsidRPr="00687C99">
              <w:rPr>
                <w:rFonts w:cs="Arial"/>
                <w:bCs/>
                <w:color w:val="000000"/>
                <w:lang w:eastAsia="en-GB"/>
              </w:rPr>
              <w:t>1,325</w:t>
            </w:r>
          </w:p>
        </w:tc>
        <w:tc>
          <w:tcPr>
            <w:tcW w:w="1215"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363723" w:rsidRPr="00687C99" w:rsidRDefault="00363723" w:rsidP="00513B51">
            <w:pPr>
              <w:tabs>
                <w:tab w:val="left" w:pos="7938"/>
              </w:tabs>
              <w:jc w:val="right"/>
              <w:rPr>
                <w:rFonts w:cs="Arial"/>
                <w:b/>
                <w:bCs/>
                <w:color w:val="000000"/>
                <w:lang w:eastAsia="en-GB"/>
              </w:rPr>
            </w:pPr>
          </w:p>
        </w:tc>
      </w:tr>
      <w:tr w:rsidR="007A2F94" w:rsidRPr="00687C99"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hideMark/>
          </w:tcPr>
          <w:p w:rsidR="007A2F94" w:rsidRPr="00687C99" w:rsidRDefault="007A2F94" w:rsidP="00513B51">
            <w:pPr>
              <w:tabs>
                <w:tab w:val="left" w:pos="7938"/>
              </w:tabs>
              <w:rPr>
                <w:rFonts w:cs="Arial"/>
                <w:b/>
                <w:bCs/>
                <w:color w:val="000000"/>
                <w:lang w:eastAsia="en-GB"/>
              </w:rPr>
            </w:pPr>
            <w:r w:rsidRPr="00687C99">
              <w:rPr>
                <w:rFonts w:cs="Arial"/>
                <w:b/>
                <w:bCs/>
                <w:color w:val="000000"/>
                <w:lang w:eastAsia="en-GB"/>
              </w:rPr>
              <w:lastRenderedPageBreak/>
              <w:t>Total HRA</w:t>
            </w:r>
          </w:p>
        </w:tc>
        <w:tc>
          <w:tcPr>
            <w:tcW w:w="1215" w:type="dxa"/>
            <w:tcBorders>
              <w:top w:val="nil"/>
              <w:left w:val="nil"/>
              <w:bottom w:val="single" w:sz="4" w:space="0" w:color="auto"/>
              <w:right w:val="single" w:sz="4" w:space="0" w:color="auto"/>
            </w:tcBorders>
            <w:shd w:val="clear" w:color="auto" w:fill="auto"/>
            <w:noWrap/>
            <w:vAlign w:val="bottom"/>
          </w:tcPr>
          <w:p w:rsidR="007A2F94" w:rsidRPr="00687C99" w:rsidRDefault="007A2F94" w:rsidP="007A2F94">
            <w:pPr>
              <w:tabs>
                <w:tab w:val="left" w:pos="7938"/>
              </w:tabs>
              <w:jc w:val="right"/>
              <w:rPr>
                <w:rFonts w:cs="Arial"/>
                <w:b/>
                <w:bCs/>
                <w:color w:val="000000"/>
                <w:lang w:eastAsia="en-GB"/>
              </w:rPr>
            </w:pPr>
            <w:r w:rsidRPr="00687C99">
              <w:rPr>
                <w:rFonts w:cs="Arial"/>
                <w:b/>
                <w:bCs/>
                <w:color w:val="000000"/>
                <w:lang w:eastAsia="en-GB"/>
              </w:rPr>
              <w:t>21,225</w:t>
            </w:r>
          </w:p>
        </w:tc>
        <w:tc>
          <w:tcPr>
            <w:tcW w:w="1215" w:type="dxa"/>
            <w:tcBorders>
              <w:top w:val="nil"/>
              <w:left w:val="nil"/>
              <w:bottom w:val="single" w:sz="4" w:space="0" w:color="auto"/>
              <w:right w:val="single" w:sz="4" w:space="0" w:color="auto"/>
            </w:tcBorders>
            <w:shd w:val="clear" w:color="auto" w:fill="auto"/>
            <w:noWrap/>
            <w:vAlign w:val="bottom"/>
          </w:tcPr>
          <w:p w:rsidR="007A2F94" w:rsidRPr="00687C99" w:rsidRDefault="007A2F94" w:rsidP="007A2F94">
            <w:pPr>
              <w:tabs>
                <w:tab w:val="left" w:pos="7938"/>
              </w:tabs>
              <w:jc w:val="right"/>
              <w:rPr>
                <w:rFonts w:cs="Arial"/>
                <w:b/>
                <w:bCs/>
                <w:color w:val="000000"/>
                <w:lang w:eastAsia="en-GB"/>
              </w:rPr>
            </w:pPr>
            <w:r w:rsidRPr="00687C99">
              <w:rPr>
                <w:rFonts w:cs="Arial"/>
                <w:b/>
                <w:bCs/>
                <w:color w:val="000000"/>
                <w:lang w:eastAsia="en-GB"/>
              </w:rPr>
              <w:t>17,858</w:t>
            </w:r>
          </w:p>
        </w:tc>
        <w:tc>
          <w:tcPr>
            <w:tcW w:w="1348" w:type="dxa"/>
            <w:tcBorders>
              <w:top w:val="nil"/>
              <w:left w:val="nil"/>
              <w:bottom w:val="single" w:sz="4" w:space="0" w:color="auto"/>
              <w:right w:val="single" w:sz="4" w:space="0" w:color="auto"/>
            </w:tcBorders>
            <w:shd w:val="clear" w:color="auto" w:fill="auto"/>
            <w:noWrap/>
            <w:vAlign w:val="bottom"/>
          </w:tcPr>
          <w:p w:rsidR="007A2F94" w:rsidRPr="00687C99" w:rsidRDefault="007A2F94" w:rsidP="007A2F94">
            <w:pPr>
              <w:tabs>
                <w:tab w:val="left" w:pos="7938"/>
              </w:tabs>
              <w:jc w:val="right"/>
              <w:rPr>
                <w:rFonts w:cs="Arial"/>
                <w:b/>
                <w:bCs/>
                <w:color w:val="000000"/>
                <w:lang w:eastAsia="en-GB"/>
              </w:rPr>
            </w:pPr>
            <w:r w:rsidRPr="00687C99">
              <w:rPr>
                <w:rFonts w:cs="Arial"/>
                <w:b/>
                <w:bCs/>
                <w:color w:val="000000"/>
                <w:lang w:eastAsia="en-GB"/>
              </w:rPr>
              <w:t>17,946</w:t>
            </w:r>
          </w:p>
        </w:tc>
        <w:tc>
          <w:tcPr>
            <w:tcW w:w="1348" w:type="dxa"/>
            <w:tcBorders>
              <w:top w:val="nil"/>
              <w:left w:val="nil"/>
              <w:bottom w:val="single" w:sz="4" w:space="0" w:color="auto"/>
              <w:right w:val="single" w:sz="4" w:space="0" w:color="auto"/>
            </w:tcBorders>
            <w:shd w:val="clear" w:color="auto" w:fill="auto"/>
            <w:noWrap/>
            <w:vAlign w:val="bottom"/>
          </w:tcPr>
          <w:p w:rsidR="007A2F94" w:rsidRPr="00687C99" w:rsidRDefault="007A2F94" w:rsidP="007A2F94">
            <w:pPr>
              <w:tabs>
                <w:tab w:val="left" w:pos="7938"/>
              </w:tabs>
              <w:jc w:val="right"/>
              <w:rPr>
                <w:rFonts w:cs="Arial"/>
                <w:b/>
                <w:bCs/>
                <w:color w:val="000000"/>
                <w:lang w:eastAsia="en-GB"/>
              </w:rPr>
            </w:pPr>
            <w:r w:rsidRPr="00687C99">
              <w:rPr>
                <w:rFonts w:cs="Arial"/>
                <w:b/>
                <w:bCs/>
                <w:color w:val="000000"/>
                <w:lang w:eastAsia="en-GB"/>
              </w:rPr>
              <w:t>17,058</w:t>
            </w:r>
          </w:p>
        </w:tc>
      </w:tr>
      <w:tr w:rsidR="007A2F94" w:rsidRPr="00687C99" w:rsidTr="00011409">
        <w:trPr>
          <w:trHeight w:val="285"/>
        </w:trPr>
        <w:tc>
          <w:tcPr>
            <w:tcW w:w="3358" w:type="dxa"/>
            <w:tcBorders>
              <w:top w:val="nil"/>
              <w:left w:val="single" w:sz="4" w:space="0" w:color="auto"/>
              <w:bottom w:val="single" w:sz="4" w:space="0" w:color="auto"/>
              <w:right w:val="single" w:sz="4" w:space="0" w:color="auto"/>
            </w:tcBorders>
            <w:shd w:val="clear" w:color="auto" w:fill="auto"/>
            <w:vAlign w:val="bottom"/>
            <w:hideMark/>
          </w:tcPr>
          <w:p w:rsidR="007A2F94" w:rsidRPr="00687C99" w:rsidRDefault="007A2F94" w:rsidP="00513B51">
            <w:pPr>
              <w:tabs>
                <w:tab w:val="left" w:pos="7938"/>
              </w:tabs>
              <w:rPr>
                <w:rFonts w:cs="Arial"/>
                <w:color w:val="000000"/>
                <w:lang w:eastAsia="en-GB"/>
              </w:rPr>
            </w:pPr>
            <w:r w:rsidRPr="00687C99">
              <w:rPr>
                <w:rFonts w:cs="Arial"/>
                <w:color w:val="000000"/>
                <w:lang w:eastAsia="en-GB"/>
              </w:rPr>
              <w:t> </w:t>
            </w:r>
          </w:p>
        </w:tc>
        <w:tc>
          <w:tcPr>
            <w:tcW w:w="1215" w:type="dxa"/>
            <w:tcBorders>
              <w:top w:val="nil"/>
              <w:left w:val="nil"/>
              <w:bottom w:val="single" w:sz="4" w:space="0" w:color="auto"/>
              <w:right w:val="single" w:sz="4" w:space="0" w:color="auto"/>
            </w:tcBorders>
            <w:shd w:val="clear" w:color="auto" w:fill="auto"/>
            <w:noWrap/>
            <w:vAlign w:val="bottom"/>
          </w:tcPr>
          <w:p w:rsidR="007A2F94" w:rsidRPr="00687C99" w:rsidRDefault="007A2F94" w:rsidP="00513B51">
            <w:pPr>
              <w:tabs>
                <w:tab w:val="left" w:pos="7938"/>
              </w:tabs>
              <w:rPr>
                <w:rFonts w:cs="Arial"/>
                <w:color w:val="000000"/>
                <w:lang w:eastAsia="en-GB"/>
              </w:rPr>
            </w:pPr>
          </w:p>
        </w:tc>
        <w:tc>
          <w:tcPr>
            <w:tcW w:w="1215" w:type="dxa"/>
            <w:tcBorders>
              <w:top w:val="nil"/>
              <w:left w:val="nil"/>
              <w:bottom w:val="single" w:sz="4" w:space="0" w:color="auto"/>
              <w:right w:val="single" w:sz="4" w:space="0" w:color="auto"/>
            </w:tcBorders>
            <w:shd w:val="clear" w:color="auto" w:fill="auto"/>
            <w:noWrap/>
            <w:vAlign w:val="bottom"/>
          </w:tcPr>
          <w:p w:rsidR="007A2F94" w:rsidRPr="00687C99" w:rsidRDefault="007A2F94" w:rsidP="00513B51">
            <w:pPr>
              <w:tabs>
                <w:tab w:val="left" w:pos="7938"/>
              </w:tabs>
              <w:rPr>
                <w:rFonts w:cs="Arial"/>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A2F94" w:rsidRPr="00687C99" w:rsidRDefault="007A2F94" w:rsidP="00513B51">
            <w:pPr>
              <w:tabs>
                <w:tab w:val="left" w:pos="7938"/>
              </w:tabs>
              <w:rPr>
                <w:rFonts w:cs="Arial"/>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A2F94" w:rsidRPr="00687C99" w:rsidRDefault="007A2F94" w:rsidP="00513B51">
            <w:pPr>
              <w:tabs>
                <w:tab w:val="left" w:pos="7938"/>
              </w:tabs>
              <w:rPr>
                <w:rFonts w:cs="Arial"/>
                <w:color w:val="000000"/>
                <w:lang w:eastAsia="en-GB"/>
              </w:rPr>
            </w:pPr>
          </w:p>
        </w:tc>
      </w:tr>
      <w:tr w:rsidR="007A2F94" w:rsidRPr="00687C99" w:rsidTr="00C504E7">
        <w:trPr>
          <w:trHeight w:val="300"/>
        </w:trPr>
        <w:tc>
          <w:tcPr>
            <w:tcW w:w="3358" w:type="dxa"/>
            <w:tcBorders>
              <w:top w:val="nil"/>
              <w:left w:val="single" w:sz="4" w:space="0" w:color="auto"/>
              <w:bottom w:val="nil"/>
              <w:right w:val="single" w:sz="4" w:space="0" w:color="auto"/>
            </w:tcBorders>
            <w:shd w:val="clear" w:color="000000" w:fill="D9D9D9"/>
            <w:vAlign w:val="bottom"/>
            <w:hideMark/>
          </w:tcPr>
          <w:p w:rsidR="007A2F94" w:rsidRPr="00687C99" w:rsidRDefault="007A2F94" w:rsidP="00513B51">
            <w:pPr>
              <w:tabs>
                <w:tab w:val="left" w:pos="7938"/>
              </w:tabs>
              <w:rPr>
                <w:rFonts w:cs="Arial"/>
                <w:b/>
                <w:bCs/>
                <w:color w:val="000000"/>
                <w:lang w:eastAsia="en-GB"/>
              </w:rPr>
            </w:pPr>
            <w:r w:rsidRPr="00687C99">
              <w:rPr>
                <w:rFonts w:cs="Arial"/>
                <w:b/>
                <w:bCs/>
                <w:color w:val="000000"/>
                <w:lang w:eastAsia="en-GB"/>
              </w:rPr>
              <w:t>Total Revised Programme</w:t>
            </w:r>
          </w:p>
        </w:tc>
        <w:tc>
          <w:tcPr>
            <w:tcW w:w="1215" w:type="dxa"/>
            <w:tcBorders>
              <w:top w:val="nil"/>
              <w:left w:val="nil"/>
              <w:bottom w:val="nil"/>
              <w:right w:val="single" w:sz="4" w:space="0" w:color="auto"/>
            </w:tcBorders>
            <w:shd w:val="clear" w:color="auto" w:fill="auto"/>
            <w:noWrap/>
            <w:vAlign w:val="bottom"/>
          </w:tcPr>
          <w:p w:rsidR="007A2F94" w:rsidRPr="00687C99" w:rsidRDefault="007A2F94" w:rsidP="00513B51">
            <w:pPr>
              <w:tabs>
                <w:tab w:val="left" w:pos="7938"/>
              </w:tabs>
              <w:jc w:val="right"/>
              <w:rPr>
                <w:rFonts w:cs="Arial"/>
                <w:b/>
                <w:bCs/>
                <w:color w:val="000000"/>
                <w:lang w:eastAsia="en-GB"/>
              </w:rPr>
            </w:pPr>
          </w:p>
        </w:tc>
        <w:tc>
          <w:tcPr>
            <w:tcW w:w="1215" w:type="dxa"/>
            <w:tcBorders>
              <w:top w:val="nil"/>
              <w:left w:val="nil"/>
              <w:bottom w:val="nil"/>
              <w:right w:val="single" w:sz="4" w:space="0" w:color="auto"/>
            </w:tcBorders>
            <w:shd w:val="clear" w:color="auto" w:fill="auto"/>
            <w:noWrap/>
            <w:vAlign w:val="bottom"/>
          </w:tcPr>
          <w:p w:rsidR="007A2F94" w:rsidRPr="00687C99" w:rsidRDefault="007A2F94" w:rsidP="00513B51">
            <w:pPr>
              <w:tabs>
                <w:tab w:val="left" w:pos="7938"/>
              </w:tabs>
              <w:jc w:val="right"/>
              <w:rPr>
                <w:rFonts w:cs="Arial"/>
                <w:b/>
                <w:bCs/>
                <w:color w:val="000000"/>
                <w:lang w:eastAsia="en-GB"/>
              </w:rPr>
            </w:pPr>
          </w:p>
        </w:tc>
        <w:tc>
          <w:tcPr>
            <w:tcW w:w="1348" w:type="dxa"/>
            <w:tcBorders>
              <w:top w:val="nil"/>
              <w:left w:val="nil"/>
              <w:bottom w:val="nil"/>
              <w:right w:val="single" w:sz="4" w:space="0" w:color="auto"/>
            </w:tcBorders>
            <w:shd w:val="clear" w:color="auto" w:fill="auto"/>
            <w:noWrap/>
            <w:vAlign w:val="bottom"/>
          </w:tcPr>
          <w:p w:rsidR="007A2F94" w:rsidRPr="00687C99" w:rsidRDefault="007A2F94" w:rsidP="00513B51">
            <w:pPr>
              <w:tabs>
                <w:tab w:val="left" w:pos="7938"/>
              </w:tabs>
              <w:jc w:val="right"/>
              <w:rPr>
                <w:rFonts w:cs="Arial"/>
                <w:b/>
                <w:bCs/>
                <w:color w:val="000000"/>
                <w:lang w:eastAsia="en-GB"/>
              </w:rPr>
            </w:pPr>
          </w:p>
        </w:tc>
        <w:tc>
          <w:tcPr>
            <w:tcW w:w="1348" w:type="dxa"/>
            <w:tcBorders>
              <w:top w:val="nil"/>
              <w:left w:val="nil"/>
              <w:bottom w:val="nil"/>
              <w:right w:val="single" w:sz="4" w:space="0" w:color="auto"/>
            </w:tcBorders>
            <w:shd w:val="clear" w:color="auto" w:fill="auto"/>
            <w:noWrap/>
            <w:vAlign w:val="bottom"/>
          </w:tcPr>
          <w:p w:rsidR="007A2F94" w:rsidRPr="00687C99" w:rsidRDefault="007A2F94" w:rsidP="00513B51">
            <w:pPr>
              <w:tabs>
                <w:tab w:val="left" w:pos="7938"/>
              </w:tabs>
              <w:jc w:val="right"/>
              <w:rPr>
                <w:rFonts w:cs="Arial"/>
                <w:b/>
                <w:bCs/>
                <w:color w:val="000000"/>
                <w:lang w:eastAsia="en-GB"/>
              </w:rPr>
            </w:pPr>
          </w:p>
        </w:tc>
      </w:tr>
      <w:tr w:rsidR="007A2F94" w:rsidRPr="00687C99" w:rsidTr="00011409">
        <w:trPr>
          <w:trHeight w:val="300"/>
        </w:trPr>
        <w:tc>
          <w:tcPr>
            <w:tcW w:w="3358" w:type="dxa"/>
            <w:tcBorders>
              <w:top w:val="nil"/>
              <w:left w:val="single" w:sz="4" w:space="0" w:color="auto"/>
              <w:bottom w:val="single" w:sz="4" w:space="0" w:color="auto"/>
              <w:right w:val="single" w:sz="4" w:space="0" w:color="auto"/>
            </w:tcBorders>
            <w:shd w:val="clear" w:color="000000" w:fill="D9D9D9"/>
            <w:vAlign w:val="bottom"/>
          </w:tcPr>
          <w:p w:rsidR="007A2F94" w:rsidRPr="00687C99" w:rsidRDefault="007A2F94" w:rsidP="00513B51">
            <w:pPr>
              <w:tabs>
                <w:tab w:val="left" w:pos="7938"/>
              </w:tabs>
              <w:rPr>
                <w:rFonts w:cs="Arial"/>
                <w:b/>
                <w:bCs/>
                <w:color w:val="000000"/>
                <w:lang w:eastAsia="en-GB"/>
              </w:rPr>
            </w:pPr>
          </w:p>
        </w:tc>
        <w:tc>
          <w:tcPr>
            <w:tcW w:w="1215" w:type="dxa"/>
            <w:tcBorders>
              <w:top w:val="nil"/>
              <w:left w:val="nil"/>
              <w:bottom w:val="single" w:sz="4" w:space="0" w:color="auto"/>
              <w:right w:val="single" w:sz="4" w:space="0" w:color="auto"/>
            </w:tcBorders>
            <w:shd w:val="clear" w:color="auto" w:fill="auto"/>
            <w:noWrap/>
            <w:vAlign w:val="bottom"/>
          </w:tcPr>
          <w:p w:rsidR="007A2F94" w:rsidRPr="00687C99" w:rsidRDefault="007A2F94" w:rsidP="007A2F94">
            <w:pPr>
              <w:tabs>
                <w:tab w:val="left" w:pos="7938"/>
              </w:tabs>
              <w:jc w:val="right"/>
              <w:rPr>
                <w:rFonts w:cs="Arial"/>
                <w:b/>
                <w:bCs/>
                <w:color w:val="000000"/>
                <w:lang w:eastAsia="en-GB"/>
              </w:rPr>
            </w:pPr>
            <w:r w:rsidRPr="00687C99">
              <w:rPr>
                <w:rFonts w:cs="Arial"/>
                <w:b/>
                <w:bCs/>
                <w:color w:val="000000"/>
                <w:lang w:eastAsia="en-GB"/>
              </w:rPr>
              <w:t>62,164</w:t>
            </w:r>
          </w:p>
        </w:tc>
        <w:tc>
          <w:tcPr>
            <w:tcW w:w="1215" w:type="dxa"/>
            <w:tcBorders>
              <w:top w:val="nil"/>
              <w:left w:val="nil"/>
              <w:bottom w:val="single" w:sz="4" w:space="0" w:color="auto"/>
              <w:right w:val="single" w:sz="4" w:space="0" w:color="auto"/>
            </w:tcBorders>
            <w:shd w:val="clear" w:color="auto" w:fill="auto"/>
            <w:noWrap/>
            <w:vAlign w:val="bottom"/>
          </w:tcPr>
          <w:p w:rsidR="007A2F94" w:rsidRPr="00687C99" w:rsidRDefault="007A2F94" w:rsidP="007A2F94">
            <w:pPr>
              <w:tabs>
                <w:tab w:val="left" w:pos="7938"/>
              </w:tabs>
              <w:jc w:val="right"/>
              <w:rPr>
                <w:rFonts w:cs="Arial"/>
                <w:b/>
                <w:bCs/>
                <w:color w:val="000000"/>
                <w:lang w:eastAsia="en-GB"/>
              </w:rPr>
            </w:pPr>
            <w:r w:rsidRPr="00687C99">
              <w:rPr>
                <w:rFonts w:cs="Arial"/>
                <w:b/>
                <w:bCs/>
                <w:color w:val="000000"/>
                <w:lang w:eastAsia="en-GB"/>
              </w:rPr>
              <w:t>68,363</w:t>
            </w:r>
          </w:p>
        </w:tc>
        <w:tc>
          <w:tcPr>
            <w:tcW w:w="1348" w:type="dxa"/>
            <w:tcBorders>
              <w:top w:val="nil"/>
              <w:left w:val="nil"/>
              <w:bottom w:val="single" w:sz="4" w:space="0" w:color="auto"/>
              <w:right w:val="single" w:sz="4" w:space="0" w:color="auto"/>
            </w:tcBorders>
            <w:shd w:val="clear" w:color="auto" w:fill="auto"/>
            <w:noWrap/>
            <w:vAlign w:val="bottom"/>
          </w:tcPr>
          <w:p w:rsidR="007A2F94" w:rsidRPr="00687C99" w:rsidRDefault="007A2F94" w:rsidP="007A2F94">
            <w:pPr>
              <w:tabs>
                <w:tab w:val="left" w:pos="7938"/>
              </w:tabs>
              <w:jc w:val="right"/>
              <w:rPr>
                <w:rFonts w:cs="Arial"/>
                <w:b/>
                <w:bCs/>
                <w:color w:val="000000"/>
                <w:lang w:eastAsia="en-GB"/>
              </w:rPr>
            </w:pPr>
            <w:r w:rsidRPr="00687C99">
              <w:rPr>
                <w:rFonts w:cs="Arial"/>
                <w:b/>
                <w:bCs/>
                <w:color w:val="000000"/>
                <w:lang w:eastAsia="en-GB"/>
              </w:rPr>
              <w:t>43,534</w:t>
            </w:r>
          </w:p>
        </w:tc>
        <w:tc>
          <w:tcPr>
            <w:tcW w:w="1348" w:type="dxa"/>
            <w:tcBorders>
              <w:top w:val="nil"/>
              <w:left w:val="nil"/>
              <w:bottom w:val="single" w:sz="4" w:space="0" w:color="auto"/>
              <w:right w:val="single" w:sz="4" w:space="0" w:color="auto"/>
            </w:tcBorders>
            <w:shd w:val="clear" w:color="auto" w:fill="auto"/>
            <w:noWrap/>
            <w:vAlign w:val="bottom"/>
          </w:tcPr>
          <w:p w:rsidR="007A2F94" w:rsidRPr="00687C99" w:rsidRDefault="007A2F94" w:rsidP="007A2F94">
            <w:pPr>
              <w:tabs>
                <w:tab w:val="left" w:pos="7938"/>
              </w:tabs>
              <w:jc w:val="right"/>
              <w:rPr>
                <w:rFonts w:cs="Arial"/>
                <w:b/>
                <w:bCs/>
                <w:color w:val="000000"/>
                <w:lang w:eastAsia="en-GB"/>
              </w:rPr>
            </w:pPr>
            <w:r w:rsidRPr="00687C99">
              <w:rPr>
                <w:rFonts w:cs="Arial"/>
                <w:b/>
                <w:bCs/>
                <w:color w:val="000000"/>
                <w:lang w:eastAsia="en-GB"/>
              </w:rPr>
              <w:t>44,879</w:t>
            </w:r>
          </w:p>
        </w:tc>
      </w:tr>
    </w:tbl>
    <w:p w:rsidR="00E8099B" w:rsidRDefault="00EE7E28" w:rsidP="00513B51">
      <w:pPr>
        <w:tabs>
          <w:tab w:val="left" w:pos="7938"/>
        </w:tabs>
        <w:ind w:left="720" w:right="386"/>
        <w:jc w:val="both"/>
        <w:rPr>
          <w:bCs/>
        </w:rPr>
      </w:pPr>
      <w:r>
        <w:rPr>
          <w:bCs/>
        </w:rPr>
        <w:t>.</w:t>
      </w:r>
    </w:p>
    <w:p w:rsidR="00B74D07" w:rsidRPr="00513B51" w:rsidRDefault="002E7ADC" w:rsidP="00FB642C">
      <w:pPr>
        <w:ind w:left="720" w:right="386"/>
        <w:jc w:val="both"/>
        <w:rPr>
          <w:b/>
          <w:bCs/>
        </w:rPr>
      </w:pPr>
      <w:r w:rsidRPr="00513B51">
        <w:rPr>
          <w:b/>
          <w:bCs/>
        </w:rPr>
        <w:t>N</w:t>
      </w:r>
      <w:r w:rsidR="00B74D07" w:rsidRPr="00513B51">
        <w:rPr>
          <w:b/>
          <w:bCs/>
        </w:rPr>
        <w:t>otes to Table 9  :</w:t>
      </w:r>
    </w:p>
    <w:p w:rsidR="00B74D07" w:rsidRPr="00B864B7" w:rsidRDefault="001F0225" w:rsidP="004D4B44">
      <w:pPr>
        <w:numPr>
          <w:ilvl w:val="0"/>
          <w:numId w:val="6"/>
        </w:numPr>
        <w:spacing w:after="120"/>
        <w:ind w:right="386"/>
        <w:jc w:val="both"/>
        <w:rPr>
          <w:bCs/>
        </w:rPr>
      </w:pPr>
      <w:r w:rsidRPr="001F0225">
        <w:rPr>
          <w:b/>
          <w:bCs/>
        </w:rPr>
        <w:t>Barton Phase 1</w:t>
      </w:r>
      <w:r w:rsidR="00846CCB">
        <w:rPr>
          <w:bCs/>
        </w:rPr>
        <w:t xml:space="preserve">- This represents the first 95 properties which the Council has committed to purchase from the developers, Hills. To secure the most tax advantageous position the HRA will purchase the properties and then sell them on to the Housing Company who will let them at social rent. </w:t>
      </w:r>
    </w:p>
    <w:p w:rsidR="009475CC" w:rsidRPr="009475CC" w:rsidRDefault="009475CC" w:rsidP="004D4B44">
      <w:pPr>
        <w:numPr>
          <w:ilvl w:val="0"/>
          <w:numId w:val="6"/>
        </w:numPr>
        <w:spacing w:after="120"/>
        <w:ind w:right="386"/>
        <w:jc w:val="both"/>
        <w:rPr>
          <w:b/>
          <w:bCs/>
        </w:rPr>
      </w:pPr>
      <w:r w:rsidRPr="00B864B7">
        <w:rPr>
          <w:bCs/>
        </w:rPr>
        <w:t xml:space="preserve"> </w:t>
      </w:r>
      <w:r w:rsidR="001F0225" w:rsidRPr="001F0225">
        <w:rPr>
          <w:b/>
          <w:bCs/>
        </w:rPr>
        <w:t>Barton Phase 2</w:t>
      </w:r>
      <w:r w:rsidRPr="00B864B7">
        <w:rPr>
          <w:bCs/>
        </w:rPr>
        <w:t xml:space="preserve"> </w:t>
      </w:r>
      <w:r w:rsidR="00846CCB">
        <w:rPr>
          <w:bCs/>
        </w:rPr>
        <w:t>–</w:t>
      </w:r>
      <w:r w:rsidRPr="00B864B7">
        <w:rPr>
          <w:bCs/>
        </w:rPr>
        <w:t xml:space="preserve"> </w:t>
      </w:r>
      <w:r w:rsidR="00846CCB">
        <w:rPr>
          <w:bCs/>
        </w:rPr>
        <w:t xml:space="preserve">This represents the remaining 259 properties which the Council has committed to purchase. In a similar transaction these </w:t>
      </w:r>
      <w:r w:rsidR="004605C4">
        <w:rPr>
          <w:bCs/>
        </w:rPr>
        <w:t>will</w:t>
      </w:r>
      <w:r w:rsidR="00846CCB">
        <w:rPr>
          <w:bCs/>
        </w:rPr>
        <w:t xml:space="preserve"> </w:t>
      </w:r>
      <w:r w:rsidR="006842F2">
        <w:rPr>
          <w:bCs/>
        </w:rPr>
        <w:t xml:space="preserve">be </w:t>
      </w:r>
      <w:r w:rsidR="00846CCB">
        <w:rPr>
          <w:bCs/>
        </w:rPr>
        <w:t>sold to the Housing Company and subsequently let at social rent</w:t>
      </w:r>
    </w:p>
    <w:p w:rsidR="003D0EB2" w:rsidRDefault="003D0EB2" w:rsidP="004D4B44">
      <w:pPr>
        <w:numPr>
          <w:ilvl w:val="0"/>
          <w:numId w:val="6"/>
        </w:numPr>
        <w:spacing w:after="120"/>
      </w:pPr>
      <w:r>
        <w:rPr>
          <w:b/>
        </w:rPr>
        <w:t>Changes in loans to Housing Company –</w:t>
      </w:r>
      <w:r>
        <w:t xml:space="preserve"> Changes in expenditure within the Housing Company Business Plan</w:t>
      </w:r>
    </w:p>
    <w:p w:rsidR="009D551B" w:rsidRDefault="009D551B" w:rsidP="009D551B">
      <w:pPr>
        <w:numPr>
          <w:ilvl w:val="0"/>
          <w:numId w:val="6"/>
        </w:numPr>
        <w:tabs>
          <w:tab w:val="left" w:pos="8647"/>
        </w:tabs>
        <w:spacing w:after="120"/>
      </w:pPr>
      <w:r>
        <w:rPr>
          <w:b/>
        </w:rPr>
        <w:t xml:space="preserve">Go Low Ultra Low – </w:t>
      </w:r>
      <w:r>
        <w:t>The Council will bid for around</w:t>
      </w:r>
      <w:r w:rsidR="00513B51">
        <w:t xml:space="preserve"> £543k of Government funding from OLEV in return for making a capital contribution of £105k over 3 years together with £18k revenue and securing around £76k from external partners to fund charging infrastructure for low emission targets</w:t>
      </w:r>
    </w:p>
    <w:p w:rsidR="00513B51" w:rsidRDefault="00513B51" w:rsidP="009D551B">
      <w:pPr>
        <w:numPr>
          <w:ilvl w:val="0"/>
          <w:numId w:val="6"/>
        </w:numPr>
        <w:tabs>
          <w:tab w:val="left" w:pos="8647"/>
        </w:tabs>
        <w:spacing w:after="120"/>
      </w:pPr>
      <w:r>
        <w:rPr>
          <w:b/>
        </w:rPr>
        <w:t>Teachers Loans –</w:t>
      </w:r>
      <w:r>
        <w:t xml:space="preserve"> Scheme is running in conjunction with Catalyst housing. </w:t>
      </w:r>
      <w:r w:rsidR="0070180F">
        <w:t>Five loans have been paid out and committed. An additional £100k would be sufficient for 2 further loans.</w:t>
      </w:r>
    </w:p>
    <w:p w:rsidR="0070180F" w:rsidRDefault="0070180F" w:rsidP="009D551B">
      <w:pPr>
        <w:numPr>
          <w:ilvl w:val="0"/>
          <w:numId w:val="6"/>
        </w:numPr>
        <w:tabs>
          <w:tab w:val="left" w:pos="8647"/>
        </w:tabs>
        <w:spacing w:after="120"/>
      </w:pPr>
      <w:r>
        <w:rPr>
          <w:b/>
        </w:rPr>
        <w:t>Car Park Resurfacing –</w:t>
      </w:r>
      <w:r>
        <w:t xml:space="preserve"> Minor changes to the car park resurfacing budget</w:t>
      </w:r>
    </w:p>
    <w:p w:rsidR="00030F4B" w:rsidRDefault="00030F4B" w:rsidP="00030F4B">
      <w:pPr>
        <w:pStyle w:val="Heading1"/>
      </w:pPr>
    </w:p>
    <w:p w:rsidR="00052AE4" w:rsidRPr="00052AE4" w:rsidRDefault="00052AE4" w:rsidP="00030F4B">
      <w:pPr>
        <w:pStyle w:val="Heading1"/>
      </w:pPr>
      <w:r w:rsidRPr="00052AE4">
        <w:t>Funding of the Capital Programme</w:t>
      </w:r>
    </w:p>
    <w:p w:rsidR="00AA3A6B" w:rsidRPr="00030F4B" w:rsidRDefault="00AA3A6B" w:rsidP="00030F4B">
      <w:pPr>
        <w:pStyle w:val="ListParagraph"/>
      </w:pPr>
      <w:r w:rsidRPr="00030F4B">
        <w:t>The funding of the Capital Programme is shown in Table 10 below</w:t>
      </w:r>
    </w:p>
    <w:p w:rsidR="009E25A4" w:rsidRDefault="009E25A4" w:rsidP="009E25A4">
      <w:pPr>
        <w:ind w:right="386"/>
        <w:jc w:val="both"/>
        <w:rPr>
          <w:bCs/>
        </w:rPr>
      </w:pPr>
    </w:p>
    <w:tbl>
      <w:tblPr>
        <w:tblW w:w="8484" w:type="dxa"/>
        <w:tblInd w:w="103" w:type="dxa"/>
        <w:tblLook w:val="04A0" w:firstRow="1" w:lastRow="0" w:firstColumn="1" w:lastColumn="0" w:noHBand="0" w:noVBand="1"/>
      </w:tblPr>
      <w:tblGrid>
        <w:gridCol w:w="3358"/>
        <w:gridCol w:w="1215"/>
        <w:gridCol w:w="1215"/>
        <w:gridCol w:w="1348"/>
        <w:gridCol w:w="1348"/>
      </w:tblGrid>
      <w:tr w:rsidR="00AA3A6B" w:rsidRPr="00687C99" w:rsidTr="000F0941">
        <w:trPr>
          <w:trHeight w:val="300"/>
        </w:trPr>
        <w:tc>
          <w:tcPr>
            <w:tcW w:w="5788" w:type="dxa"/>
            <w:gridSpan w:val="3"/>
            <w:tcBorders>
              <w:top w:val="single" w:sz="4" w:space="0" w:color="auto"/>
              <w:left w:val="single" w:sz="4" w:space="0" w:color="auto"/>
              <w:bottom w:val="single" w:sz="4" w:space="0" w:color="auto"/>
              <w:right w:val="nil"/>
            </w:tcBorders>
            <w:shd w:val="clear" w:color="auto" w:fill="auto"/>
            <w:noWrap/>
            <w:vAlign w:val="bottom"/>
            <w:hideMark/>
          </w:tcPr>
          <w:p w:rsidR="00AA3A6B" w:rsidRPr="00687C99" w:rsidRDefault="00AA3A6B" w:rsidP="001F0225">
            <w:pPr>
              <w:rPr>
                <w:rFonts w:cs="Arial"/>
                <w:b/>
                <w:bCs/>
                <w:color w:val="000000"/>
                <w:lang w:eastAsia="en-GB"/>
              </w:rPr>
            </w:pPr>
            <w:r w:rsidRPr="00687C99">
              <w:rPr>
                <w:rFonts w:cs="Arial"/>
                <w:b/>
                <w:bCs/>
                <w:color w:val="000000"/>
                <w:lang w:eastAsia="en-GB"/>
              </w:rPr>
              <w:t xml:space="preserve">Table </w:t>
            </w:r>
            <w:r w:rsidR="008B1A0D" w:rsidRPr="00687C99">
              <w:rPr>
                <w:rFonts w:cs="Arial"/>
                <w:b/>
                <w:bCs/>
                <w:color w:val="000000"/>
                <w:lang w:eastAsia="en-GB"/>
              </w:rPr>
              <w:t>10</w:t>
            </w:r>
            <w:r w:rsidRPr="00687C99">
              <w:rPr>
                <w:rFonts w:cs="Arial"/>
                <w:b/>
                <w:bCs/>
                <w:color w:val="000000"/>
                <w:lang w:eastAsia="en-GB"/>
              </w:rPr>
              <w:t xml:space="preserve"> Capital Programme 201</w:t>
            </w:r>
            <w:r w:rsidR="001F0225" w:rsidRPr="00687C99">
              <w:rPr>
                <w:rFonts w:cs="Arial"/>
                <w:b/>
                <w:bCs/>
                <w:color w:val="000000"/>
                <w:lang w:eastAsia="en-GB"/>
              </w:rPr>
              <w:t>7</w:t>
            </w:r>
            <w:r w:rsidRPr="00687C99">
              <w:rPr>
                <w:rFonts w:cs="Arial"/>
                <w:b/>
                <w:bCs/>
                <w:color w:val="000000"/>
                <w:lang w:eastAsia="en-GB"/>
              </w:rPr>
              <w:t>/1</w:t>
            </w:r>
            <w:r w:rsidR="001F0225" w:rsidRPr="00687C99">
              <w:rPr>
                <w:rFonts w:cs="Arial"/>
                <w:b/>
                <w:bCs/>
                <w:color w:val="000000"/>
                <w:lang w:eastAsia="en-GB"/>
              </w:rPr>
              <w:t>8</w:t>
            </w:r>
            <w:r w:rsidRPr="00687C99">
              <w:rPr>
                <w:rFonts w:cs="Arial"/>
                <w:b/>
                <w:bCs/>
                <w:color w:val="000000"/>
                <w:lang w:eastAsia="en-GB"/>
              </w:rPr>
              <w:t xml:space="preserve"> to 20</w:t>
            </w:r>
            <w:r w:rsidR="001F0225" w:rsidRPr="00687C99">
              <w:rPr>
                <w:rFonts w:cs="Arial"/>
                <w:b/>
                <w:bCs/>
                <w:color w:val="000000"/>
                <w:lang w:eastAsia="en-GB"/>
              </w:rPr>
              <w:t>20</w:t>
            </w:r>
            <w:r w:rsidRPr="00687C99">
              <w:rPr>
                <w:rFonts w:cs="Arial"/>
                <w:b/>
                <w:bCs/>
                <w:color w:val="000000"/>
                <w:lang w:eastAsia="en-GB"/>
              </w:rPr>
              <w:t>/2</w:t>
            </w:r>
            <w:r w:rsidR="001F0225" w:rsidRPr="00687C99">
              <w:rPr>
                <w:rFonts w:cs="Arial"/>
                <w:b/>
                <w:bCs/>
                <w:color w:val="000000"/>
                <w:lang w:eastAsia="en-GB"/>
              </w:rPr>
              <w:t>1</w:t>
            </w:r>
          </w:p>
        </w:tc>
        <w:tc>
          <w:tcPr>
            <w:tcW w:w="1348" w:type="dxa"/>
            <w:tcBorders>
              <w:top w:val="single" w:sz="4" w:space="0" w:color="auto"/>
              <w:left w:val="nil"/>
              <w:bottom w:val="single" w:sz="4" w:space="0" w:color="auto"/>
              <w:right w:val="nil"/>
            </w:tcBorders>
            <w:shd w:val="clear" w:color="auto" w:fill="auto"/>
            <w:noWrap/>
            <w:vAlign w:val="bottom"/>
            <w:hideMark/>
          </w:tcPr>
          <w:p w:rsidR="00AA3A6B" w:rsidRPr="00687C99" w:rsidRDefault="00AA3A6B" w:rsidP="000F0941">
            <w:pPr>
              <w:rPr>
                <w:rFonts w:cs="Arial"/>
                <w:b/>
                <w:color w:val="000000"/>
                <w:lang w:eastAsia="en-GB"/>
              </w:rPr>
            </w:pPr>
            <w:r w:rsidRPr="00687C99">
              <w:rPr>
                <w:rFonts w:cs="Arial"/>
                <w:b/>
                <w:color w:val="000000"/>
                <w:lang w:eastAsia="en-GB"/>
              </w:rPr>
              <w:t> </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AA3A6B" w:rsidRPr="00687C99" w:rsidRDefault="00AA3A6B" w:rsidP="000F0941">
            <w:pPr>
              <w:rPr>
                <w:rFonts w:cs="Arial"/>
                <w:b/>
                <w:color w:val="000000"/>
                <w:lang w:eastAsia="en-GB"/>
              </w:rPr>
            </w:pPr>
            <w:r w:rsidRPr="00687C99">
              <w:rPr>
                <w:rFonts w:cs="Arial"/>
                <w:b/>
                <w:color w:val="000000"/>
                <w:lang w:eastAsia="en-GB"/>
              </w:rPr>
              <w:t> </w:t>
            </w:r>
          </w:p>
        </w:tc>
      </w:tr>
      <w:tr w:rsidR="001F0225" w:rsidRPr="00687C99" w:rsidTr="000F0941">
        <w:trPr>
          <w:trHeight w:val="300"/>
        </w:trPr>
        <w:tc>
          <w:tcPr>
            <w:tcW w:w="3358" w:type="dxa"/>
            <w:tcBorders>
              <w:top w:val="nil"/>
              <w:left w:val="single" w:sz="4" w:space="0" w:color="auto"/>
              <w:bottom w:val="single" w:sz="4" w:space="0" w:color="auto"/>
              <w:right w:val="single" w:sz="4" w:space="0" w:color="auto"/>
            </w:tcBorders>
            <w:shd w:val="clear" w:color="auto" w:fill="auto"/>
            <w:vAlign w:val="bottom"/>
            <w:hideMark/>
          </w:tcPr>
          <w:p w:rsidR="001F0225" w:rsidRPr="00687C99" w:rsidRDefault="001F0225" w:rsidP="000F0941">
            <w:pPr>
              <w:rPr>
                <w:rFonts w:cs="Arial"/>
                <w:b/>
                <w:color w:val="000000"/>
                <w:lang w:eastAsia="en-GB"/>
              </w:rPr>
            </w:pPr>
            <w:r w:rsidRPr="00687C99">
              <w:rPr>
                <w:rFonts w:cs="Arial"/>
                <w:b/>
                <w:color w:val="000000"/>
                <w:lang w:eastAsia="en-GB"/>
              </w:rPr>
              <w:t> </w:t>
            </w:r>
          </w:p>
        </w:tc>
        <w:tc>
          <w:tcPr>
            <w:tcW w:w="1215" w:type="dxa"/>
            <w:tcBorders>
              <w:top w:val="nil"/>
              <w:left w:val="nil"/>
              <w:bottom w:val="single" w:sz="4" w:space="0" w:color="auto"/>
              <w:right w:val="single" w:sz="4" w:space="0" w:color="auto"/>
            </w:tcBorders>
            <w:shd w:val="clear" w:color="000000" w:fill="D9D9D9"/>
            <w:noWrap/>
            <w:vAlign w:val="bottom"/>
            <w:hideMark/>
          </w:tcPr>
          <w:p w:rsidR="001F0225" w:rsidRPr="00687C99" w:rsidRDefault="001F0225" w:rsidP="005A5B60">
            <w:pPr>
              <w:rPr>
                <w:rFonts w:cs="Arial"/>
                <w:b/>
                <w:bCs/>
                <w:color w:val="000000"/>
                <w:lang w:eastAsia="en-GB"/>
              </w:rPr>
            </w:pPr>
            <w:r w:rsidRPr="00687C99">
              <w:rPr>
                <w:rFonts w:cs="Arial"/>
                <w:b/>
                <w:bCs/>
                <w:color w:val="000000"/>
                <w:lang w:eastAsia="en-GB"/>
              </w:rPr>
              <w:t>2017/18</w:t>
            </w:r>
          </w:p>
        </w:tc>
        <w:tc>
          <w:tcPr>
            <w:tcW w:w="1215" w:type="dxa"/>
            <w:tcBorders>
              <w:top w:val="nil"/>
              <w:left w:val="nil"/>
              <w:bottom w:val="single" w:sz="4" w:space="0" w:color="auto"/>
              <w:right w:val="single" w:sz="4" w:space="0" w:color="auto"/>
            </w:tcBorders>
            <w:shd w:val="clear" w:color="000000" w:fill="D9D9D9"/>
            <w:noWrap/>
            <w:vAlign w:val="bottom"/>
            <w:hideMark/>
          </w:tcPr>
          <w:p w:rsidR="001F0225" w:rsidRPr="00687C99" w:rsidRDefault="001F0225" w:rsidP="005A5B60">
            <w:pPr>
              <w:rPr>
                <w:rFonts w:cs="Arial"/>
                <w:b/>
                <w:bCs/>
                <w:color w:val="000000"/>
                <w:lang w:eastAsia="en-GB"/>
              </w:rPr>
            </w:pPr>
            <w:r w:rsidRPr="00687C99">
              <w:rPr>
                <w:rFonts w:cs="Arial"/>
                <w:b/>
                <w:bCs/>
                <w:color w:val="000000"/>
                <w:lang w:eastAsia="en-GB"/>
              </w:rPr>
              <w:t>2018/19</w:t>
            </w:r>
          </w:p>
        </w:tc>
        <w:tc>
          <w:tcPr>
            <w:tcW w:w="1348" w:type="dxa"/>
            <w:tcBorders>
              <w:top w:val="nil"/>
              <w:left w:val="nil"/>
              <w:bottom w:val="single" w:sz="4" w:space="0" w:color="auto"/>
              <w:right w:val="single" w:sz="4" w:space="0" w:color="auto"/>
            </w:tcBorders>
            <w:shd w:val="clear" w:color="000000" w:fill="D9D9D9"/>
            <w:noWrap/>
            <w:vAlign w:val="bottom"/>
            <w:hideMark/>
          </w:tcPr>
          <w:p w:rsidR="001F0225" w:rsidRPr="00687C99" w:rsidRDefault="001F0225" w:rsidP="005A5B60">
            <w:pPr>
              <w:rPr>
                <w:rFonts w:cs="Arial"/>
                <w:b/>
                <w:bCs/>
                <w:color w:val="000000"/>
                <w:lang w:eastAsia="en-GB"/>
              </w:rPr>
            </w:pPr>
            <w:r w:rsidRPr="00687C99">
              <w:rPr>
                <w:rFonts w:cs="Arial"/>
                <w:b/>
                <w:bCs/>
                <w:color w:val="000000"/>
                <w:lang w:eastAsia="en-GB"/>
              </w:rPr>
              <w:t>2019/20</w:t>
            </w:r>
          </w:p>
        </w:tc>
        <w:tc>
          <w:tcPr>
            <w:tcW w:w="1348" w:type="dxa"/>
            <w:tcBorders>
              <w:top w:val="nil"/>
              <w:left w:val="nil"/>
              <w:bottom w:val="single" w:sz="4" w:space="0" w:color="auto"/>
              <w:right w:val="single" w:sz="4" w:space="0" w:color="auto"/>
            </w:tcBorders>
            <w:shd w:val="clear" w:color="000000" w:fill="D9D9D9"/>
            <w:noWrap/>
            <w:vAlign w:val="bottom"/>
            <w:hideMark/>
          </w:tcPr>
          <w:p w:rsidR="001F0225" w:rsidRPr="00687C99" w:rsidRDefault="001F0225" w:rsidP="001F0225">
            <w:pPr>
              <w:rPr>
                <w:rFonts w:cs="Arial"/>
                <w:b/>
                <w:bCs/>
                <w:color w:val="000000"/>
                <w:lang w:eastAsia="en-GB"/>
              </w:rPr>
            </w:pPr>
            <w:r w:rsidRPr="00687C99">
              <w:rPr>
                <w:rFonts w:cs="Arial"/>
                <w:b/>
                <w:bCs/>
                <w:color w:val="000000"/>
                <w:lang w:eastAsia="en-GB"/>
              </w:rPr>
              <w:t>2020/21</w:t>
            </w:r>
          </w:p>
        </w:tc>
      </w:tr>
      <w:tr w:rsidR="001F0225" w:rsidRPr="00687C99" w:rsidTr="000F0941">
        <w:trPr>
          <w:trHeight w:val="300"/>
        </w:trPr>
        <w:tc>
          <w:tcPr>
            <w:tcW w:w="3358" w:type="dxa"/>
            <w:tcBorders>
              <w:top w:val="nil"/>
              <w:left w:val="single" w:sz="4" w:space="0" w:color="auto"/>
              <w:bottom w:val="single" w:sz="4" w:space="0" w:color="auto"/>
              <w:right w:val="single" w:sz="4" w:space="0" w:color="auto"/>
            </w:tcBorders>
            <w:shd w:val="clear" w:color="auto" w:fill="auto"/>
            <w:vAlign w:val="bottom"/>
            <w:hideMark/>
          </w:tcPr>
          <w:p w:rsidR="001F0225" w:rsidRPr="00687C99" w:rsidRDefault="001F0225" w:rsidP="000F0941">
            <w:pPr>
              <w:rPr>
                <w:rFonts w:cs="Arial"/>
                <w:b/>
                <w:color w:val="000000"/>
                <w:lang w:eastAsia="en-GB"/>
              </w:rPr>
            </w:pPr>
            <w:r w:rsidRPr="00687C99">
              <w:rPr>
                <w:rFonts w:cs="Arial"/>
                <w:b/>
                <w:color w:val="000000"/>
                <w:lang w:eastAsia="en-GB"/>
              </w:rPr>
              <w:t> </w:t>
            </w:r>
          </w:p>
        </w:tc>
        <w:tc>
          <w:tcPr>
            <w:tcW w:w="1215" w:type="dxa"/>
            <w:tcBorders>
              <w:top w:val="nil"/>
              <w:left w:val="nil"/>
              <w:bottom w:val="single" w:sz="4" w:space="0" w:color="auto"/>
              <w:right w:val="single" w:sz="4" w:space="0" w:color="auto"/>
            </w:tcBorders>
            <w:shd w:val="clear" w:color="000000" w:fill="D9D9D9"/>
            <w:noWrap/>
            <w:vAlign w:val="bottom"/>
            <w:hideMark/>
          </w:tcPr>
          <w:p w:rsidR="001F0225" w:rsidRPr="00687C99" w:rsidRDefault="001F0225" w:rsidP="000F0941">
            <w:pPr>
              <w:rPr>
                <w:rFonts w:cs="Arial"/>
                <w:b/>
                <w:bCs/>
                <w:color w:val="000000"/>
                <w:lang w:eastAsia="en-GB"/>
              </w:rPr>
            </w:pPr>
            <w:r w:rsidRPr="00687C99">
              <w:rPr>
                <w:rFonts w:cs="Arial"/>
                <w:b/>
                <w:bCs/>
                <w:color w:val="000000"/>
                <w:lang w:eastAsia="en-GB"/>
              </w:rPr>
              <w:t>£000's</w:t>
            </w:r>
          </w:p>
        </w:tc>
        <w:tc>
          <w:tcPr>
            <w:tcW w:w="1215" w:type="dxa"/>
            <w:tcBorders>
              <w:top w:val="nil"/>
              <w:left w:val="nil"/>
              <w:bottom w:val="single" w:sz="4" w:space="0" w:color="auto"/>
              <w:right w:val="single" w:sz="4" w:space="0" w:color="auto"/>
            </w:tcBorders>
            <w:shd w:val="clear" w:color="000000" w:fill="D9D9D9"/>
            <w:noWrap/>
            <w:vAlign w:val="bottom"/>
            <w:hideMark/>
          </w:tcPr>
          <w:p w:rsidR="001F0225" w:rsidRPr="00687C99" w:rsidRDefault="001F0225" w:rsidP="000F0941">
            <w:pPr>
              <w:rPr>
                <w:rFonts w:cs="Arial"/>
                <w:b/>
                <w:bCs/>
                <w:color w:val="000000"/>
                <w:lang w:eastAsia="en-GB"/>
              </w:rPr>
            </w:pPr>
            <w:r w:rsidRPr="00687C99">
              <w:rPr>
                <w:rFonts w:cs="Arial"/>
                <w:b/>
                <w:bCs/>
                <w:color w:val="000000"/>
                <w:lang w:eastAsia="en-GB"/>
              </w:rPr>
              <w:t>£000's</w:t>
            </w:r>
          </w:p>
        </w:tc>
        <w:tc>
          <w:tcPr>
            <w:tcW w:w="1348" w:type="dxa"/>
            <w:tcBorders>
              <w:top w:val="nil"/>
              <w:left w:val="nil"/>
              <w:bottom w:val="single" w:sz="4" w:space="0" w:color="auto"/>
              <w:right w:val="single" w:sz="4" w:space="0" w:color="auto"/>
            </w:tcBorders>
            <w:shd w:val="clear" w:color="000000" w:fill="D9D9D9"/>
            <w:noWrap/>
            <w:vAlign w:val="bottom"/>
            <w:hideMark/>
          </w:tcPr>
          <w:p w:rsidR="001F0225" w:rsidRPr="00687C99" w:rsidRDefault="001F0225" w:rsidP="000F0941">
            <w:pPr>
              <w:rPr>
                <w:rFonts w:cs="Arial"/>
                <w:b/>
                <w:bCs/>
                <w:color w:val="000000"/>
                <w:lang w:eastAsia="en-GB"/>
              </w:rPr>
            </w:pPr>
            <w:r w:rsidRPr="00687C99">
              <w:rPr>
                <w:rFonts w:cs="Arial"/>
                <w:b/>
                <w:bCs/>
                <w:color w:val="000000"/>
                <w:lang w:eastAsia="en-GB"/>
              </w:rPr>
              <w:t>£000's</w:t>
            </w:r>
          </w:p>
        </w:tc>
        <w:tc>
          <w:tcPr>
            <w:tcW w:w="1348" w:type="dxa"/>
            <w:tcBorders>
              <w:top w:val="nil"/>
              <w:left w:val="nil"/>
              <w:bottom w:val="single" w:sz="4" w:space="0" w:color="auto"/>
              <w:right w:val="single" w:sz="4" w:space="0" w:color="auto"/>
            </w:tcBorders>
            <w:shd w:val="clear" w:color="000000" w:fill="D9D9D9"/>
            <w:noWrap/>
            <w:vAlign w:val="bottom"/>
            <w:hideMark/>
          </w:tcPr>
          <w:p w:rsidR="001F0225" w:rsidRPr="00687C99" w:rsidRDefault="001F0225" w:rsidP="000F0941">
            <w:pPr>
              <w:rPr>
                <w:rFonts w:cs="Arial"/>
                <w:b/>
                <w:bCs/>
                <w:color w:val="000000"/>
                <w:lang w:eastAsia="en-GB"/>
              </w:rPr>
            </w:pPr>
            <w:r w:rsidRPr="00687C99">
              <w:rPr>
                <w:rFonts w:cs="Arial"/>
                <w:b/>
                <w:bCs/>
                <w:color w:val="000000"/>
                <w:lang w:eastAsia="en-GB"/>
              </w:rPr>
              <w:t>£000's</w:t>
            </w:r>
          </w:p>
        </w:tc>
      </w:tr>
      <w:tr w:rsidR="001F0225" w:rsidRPr="00687C99" w:rsidTr="000F0941">
        <w:trPr>
          <w:trHeight w:val="300"/>
        </w:trPr>
        <w:tc>
          <w:tcPr>
            <w:tcW w:w="3358" w:type="dxa"/>
            <w:tcBorders>
              <w:top w:val="nil"/>
              <w:left w:val="single" w:sz="4" w:space="0" w:color="auto"/>
              <w:bottom w:val="single" w:sz="4" w:space="0" w:color="auto"/>
              <w:right w:val="single" w:sz="4" w:space="0" w:color="auto"/>
            </w:tcBorders>
            <w:shd w:val="clear" w:color="000000" w:fill="D9D9D9"/>
            <w:vAlign w:val="bottom"/>
            <w:hideMark/>
          </w:tcPr>
          <w:p w:rsidR="001F0225" w:rsidRPr="00687C99" w:rsidRDefault="001F0225" w:rsidP="000F0941">
            <w:pPr>
              <w:rPr>
                <w:rFonts w:cs="Arial"/>
                <w:b/>
                <w:bCs/>
                <w:color w:val="000000"/>
                <w:lang w:eastAsia="en-GB"/>
              </w:rPr>
            </w:pPr>
            <w:r w:rsidRPr="00687C99">
              <w:rPr>
                <w:rFonts w:cs="Arial"/>
                <w:b/>
                <w:bCs/>
                <w:color w:val="000000"/>
                <w:lang w:eastAsia="en-GB"/>
              </w:rPr>
              <w:t>GENERAL FUND</w:t>
            </w:r>
          </w:p>
        </w:tc>
        <w:tc>
          <w:tcPr>
            <w:tcW w:w="1215" w:type="dxa"/>
            <w:tcBorders>
              <w:top w:val="nil"/>
              <w:left w:val="nil"/>
              <w:bottom w:val="single" w:sz="4" w:space="0" w:color="auto"/>
              <w:right w:val="single" w:sz="4" w:space="0" w:color="auto"/>
            </w:tcBorders>
            <w:shd w:val="clear" w:color="auto" w:fill="auto"/>
            <w:noWrap/>
            <w:vAlign w:val="bottom"/>
            <w:hideMark/>
          </w:tcPr>
          <w:p w:rsidR="001F0225" w:rsidRPr="00687C99" w:rsidRDefault="001F0225" w:rsidP="000F0941">
            <w:pPr>
              <w:rPr>
                <w:rFonts w:cs="Arial"/>
                <w:b/>
                <w:color w:val="000000"/>
                <w:lang w:eastAsia="en-GB"/>
              </w:rPr>
            </w:pPr>
            <w:r w:rsidRPr="00687C99">
              <w:rPr>
                <w:rFonts w:cs="Arial"/>
                <w:b/>
                <w:color w:val="000000"/>
                <w:lang w:eastAsia="en-GB"/>
              </w:rPr>
              <w:t> </w:t>
            </w:r>
          </w:p>
        </w:tc>
        <w:tc>
          <w:tcPr>
            <w:tcW w:w="1215" w:type="dxa"/>
            <w:tcBorders>
              <w:top w:val="nil"/>
              <w:left w:val="nil"/>
              <w:bottom w:val="single" w:sz="4" w:space="0" w:color="auto"/>
              <w:right w:val="single" w:sz="4" w:space="0" w:color="auto"/>
            </w:tcBorders>
            <w:shd w:val="clear" w:color="auto" w:fill="auto"/>
            <w:noWrap/>
            <w:vAlign w:val="bottom"/>
            <w:hideMark/>
          </w:tcPr>
          <w:p w:rsidR="001F0225" w:rsidRPr="00687C99" w:rsidRDefault="001F0225" w:rsidP="000F0941">
            <w:pPr>
              <w:rPr>
                <w:rFonts w:cs="Arial"/>
                <w:b/>
                <w:color w:val="000000"/>
                <w:lang w:eastAsia="en-GB"/>
              </w:rPr>
            </w:pPr>
            <w:r w:rsidRPr="00687C99">
              <w:rPr>
                <w:rFonts w:cs="Arial"/>
                <w:b/>
                <w:color w:val="000000"/>
                <w:lang w:eastAsia="en-GB"/>
              </w:rPr>
              <w:t> </w:t>
            </w:r>
          </w:p>
        </w:tc>
        <w:tc>
          <w:tcPr>
            <w:tcW w:w="1348" w:type="dxa"/>
            <w:tcBorders>
              <w:top w:val="nil"/>
              <w:left w:val="nil"/>
              <w:bottom w:val="single" w:sz="4" w:space="0" w:color="auto"/>
              <w:right w:val="single" w:sz="4" w:space="0" w:color="auto"/>
            </w:tcBorders>
            <w:shd w:val="clear" w:color="auto" w:fill="auto"/>
            <w:noWrap/>
            <w:vAlign w:val="bottom"/>
            <w:hideMark/>
          </w:tcPr>
          <w:p w:rsidR="001F0225" w:rsidRPr="00687C99" w:rsidRDefault="001F0225" w:rsidP="000F0941">
            <w:pPr>
              <w:rPr>
                <w:rFonts w:cs="Arial"/>
                <w:b/>
                <w:color w:val="000000"/>
                <w:lang w:eastAsia="en-GB"/>
              </w:rPr>
            </w:pPr>
            <w:r w:rsidRPr="00687C99">
              <w:rPr>
                <w:rFonts w:cs="Arial"/>
                <w:b/>
                <w:color w:val="000000"/>
                <w:lang w:eastAsia="en-GB"/>
              </w:rPr>
              <w:t> </w:t>
            </w:r>
          </w:p>
        </w:tc>
        <w:tc>
          <w:tcPr>
            <w:tcW w:w="1348" w:type="dxa"/>
            <w:tcBorders>
              <w:top w:val="nil"/>
              <w:left w:val="nil"/>
              <w:bottom w:val="single" w:sz="4" w:space="0" w:color="auto"/>
              <w:right w:val="single" w:sz="4" w:space="0" w:color="auto"/>
            </w:tcBorders>
            <w:shd w:val="clear" w:color="auto" w:fill="auto"/>
            <w:noWrap/>
            <w:vAlign w:val="bottom"/>
            <w:hideMark/>
          </w:tcPr>
          <w:p w:rsidR="001F0225" w:rsidRPr="00687C99" w:rsidRDefault="001F0225" w:rsidP="000F0941">
            <w:pPr>
              <w:rPr>
                <w:rFonts w:cs="Arial"/>
                <w:b/>
                <w:color w:val="000000"/>
                <w:lang w:eastAsia="en-GB"/>
              </w:rPr>
            </w:pPr>
            <w:r w:rsidRPr="00687C99">
              <w:rPr>
                <w:rFonts w:cs="Arial"/>
                <w:b/>
                <w:color w:val="000000"/>
                <w:lang w:eastAsia="en-GB"/>
              </w:rPr>
              <w:t> </w:t>
            </w:r>
          </w:p>
        </w:tc>
      </w:tr>
      <w:tr w:rsidR="001F0225" w:rsidRPr="00687C99" w:rsidTr="00AA3A6B">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1F0225" w:rsidRPr="00687C99" w:rsidRDefault="001F0225" w:rsidP="000F0941">
            <w:pPr>
              <w:rPr>
                <w:rFonts w:cs="Arial"/>
                <w:bCs/>
                <w:color w:val="000000"/>
                <w:lang w:eastAsia="en-GB"/>
              </w:rPr>
            </w:pPr>
            <w:r w:rsidRPr="00687C99">
              <w:rPr>
                <w:rFonts w:cs="Arial"/>
                <w:bCs/>
                <w:color w:val="000000"/>
                <w:lang w:eastAsia="en-GB"/>
              </w:rPr>
              <w:t>Capital Receipts</w:t>
            </w:r>
          </w:p>
        </w:tc>
        <w:tc>
          <w:tcPr>
            <w:tcW w:w="1215" w:type="dxa"/>
            <w:tcBorders>
              <w:top w:val="nil"/>
              <w:left w:val="nil"/>
              <w:bottom w:val="single" w:sz="4" w:space="0" w:color="auto"/>
              <w:right w:val="single" w:sz="4" w:space="0" w:color="auto"/>
            </w:tcBorders>
            <w:shd w:val="clear" w:color="auto" w:fill="auto"/>
            <w:noWrap/>
            <w:vAlign w:val="bottom"/>
          </w:tcPr>
          <w:p w:rsidR="001F0225" w:rsidRPr="00687C99" w:rsidRDefault="007A2F94" w:rsidP="00663529">
            <w:pPr>
              <w:jc w:val="right"/>
              <w:rPr>
                <w:rFonts w:cs="Arial"/>
                <w:bCs/>
                <w:color w:val="000000"/>
                <w:lang w:eastAsia="en-GB"/>
              </w:rPr>
            </w:pPr>
            <w:r w:rsidRPr="00687C99">
              <w:rPr>
                <w:rFonts w:cs="Arial"/>
                <w:bCs/>
                <w:color w:val="000000"/>
                <w:lang w:eastAsia="en-GB"/>
              </w:rPr>
              <w:t>9,089</w:t>
            </w:r>
          </w:p>
        </w:tc>
        <w:tc>
          <w:tcPr>
            <w:tcW w:w="1215" w:type="dxa"/>
            <w:tcBorders>
              <w:top w:val="nil"/>
              <w:left w:val="nil"/>
              <w:bottom w:val="single" w:sz="4" w:space="0" w:color="auto"/>
              <w:right w:val="single" w:sz="4" w:space="0" w:color="auto"/>
            </w:tcBorders>
            <w:shd w:val="clear" w:color="auto" w:fill="auto"/>
            <w:noWrap/>
            <w:vAlign w:val="bottom"/>
          </w:tcPr>
          <w:p w:rsidR="001F0225" w:rsidRPr="00687C99" w:rsidRDefault="0019390A" w:rsidP="00022161">
            <w:pPr>
              <w:jc w:val="right"/>
              <w:rPr>
                <w:rFonts w:cs="Arial"/>
                <w:bCs/>
                <w:color w:val="000000"/>
                <w:lang w:eastAsia="en-GB"/>
              </w:rPr>
            </w:pPr>
            <w:r w:rsidRPr="00687C99">
              <w:rPr>
                <w:rFonts w:cs="Arial"/>
                <w:bCs/>
                <w:color w:val="000000"/>
                <w:lang w:eastAsia="en-GB"/>
              </w:rPr>
              <w:t>1</w:t>
            </w:r>
            <w:r w:rsidR="00022161" w:rsidRPr="00687C99">
              <w:rPr>
                <w:rFonts w:cs="Arial"/>
                <w:bCs/>
                <w:color w:val="000000"/>
                <w:lang w:eastAsia="en-GB"/>
              </w:rPr>
              <w:t>1</w:t>
            </w:r>
            <w:r w:rsidRPr="00687C99">
              <w:rPr>
                <w:rFonts w:cs="Arial"/>
                <w:bCs/>
                <w:color w:val="000000"/>
                <w:lang w:eastAsia="en-GB"/>
              </w:rPr>
              <w:t>,</w:t>
            </w:r>
            <w:r w:rsidR="00022161" w:rsidRPr="00687C99">
              <w:rPr>
                <w:rFonts w:cs="Arial"/>
                <w:bCs/>
                <w:color w:val="000000"/>
                <w:lang w:eastAsia="en-GB"/>
              </w:rPr>
              <w:t>3</w:t>
            </w:r>
            <w:r w:rsidRPr="00687C99">
              <w:rPr>
                <w:rFonts w:cs="Arial"/>
                <w:bCs/>
                <w:color w:val="000000"/>
                <w:lang w:eastAsia="en-GB"/>
              </w:rPr>
              <w:t>57</w:t>
            </w:r>
          </w:p>
        </w:tc>
        <w:tc>
          <w:tcPr>
            <w:tcW w:w="1348" w:type="dxa"/>
            <w:tcBorders>
              <w:top w:val="nil"/>
              <w:left w:val="nil"/>
              <w:bottom w:val="single" w:sz="4" w:space="0" w:color="auto"/>
              <w:right w:val="single" w:sz="4" w:space="0" w:color="auto"/>
            </w:tcBorders>
            <w:shd w:val="clear" w:color="auto" w:fill="auto"/>
            <w:noWrap/>
            <w:vAlign w:val="bottom"/>
          </w:tcPr>
          <w:p w:rsidR="001F0225" w:rsidRPr="00687C99" w:rsidRDefault="0019390A" w:rsidP="00B55C1D">
            <w:pPr>
              <w:jc w:val="right"/>
              <w:rPr>
                <w:rFonts w:cs="Arial"/>
                <w:bCs/>
                <w:color w:val="000000"/>
                <w:lang w:eastAsia="en-GB"/>
              </w:rPr>
            </w:pPr>
            <w:r w:rsidRPr="00687C99">
              <w:rPr>
                <w:rFonts w:cs="Arial"/>
                <w:bCs/>
                <w:color w:val="000000"/>
                <w:lang w:eastAsia="en-GB"/>
              </w:rPr>
              <w:t>5,780</w:t>
            </w:r>
          </w:p>
        </w:tc>
        <w:tc>
          <w:tcPr>
            <w:tcW w:w="1348" w:type="dxa"/>
            <w:tcBorders>
              <w:top w:val="nil"/>
              <w:left w:val="nil"/>
              <w:bottom w:val="single" w:sz="4" w:space="0" w:color="auto"/>
              <w:right w:val="single" w:sz="4" w:space="0" w:color="auto"/>
            </w:tcBorders>
            <w:shd w:val="clear" w:color="auto" w:fill="auto"/>
            <w:noWrap/>
            <w:vAlign w:val="bottom"/>
          </w:tcPr>
          <w:p w:rsidR="001F0225" w:rsidRPr="00687C99" w:rsidRDefault="0019390A" w:rsidP="00022161">
            <w:pPr>
              <w:jc w:val="right"/>
              <w:rPr>
                <w:rFonts w:cs="Arial"/>
                <w:bCs/>
                <w:color w:val="000000"/>
                <w:lang w:eastAsia="en-GB"/>
              </w:rPr>
            </w:pPr>
            <w:r w:rsidRPr="00687C99">
              <w:rPr>
                <w:rFonts w:cs="Arial"/>
                <w:bCs/>
                <w:color w:val="000000"/>
                <w:lang w:eastAsia="en-GB"/>
              </w:rPr>
              <w:t>11,14</w:t>
            </w:r>
            <w:r w:rsidR="00022161" w:rsidRPr="00687C99">
              <w:rPr>
                <w:rFonts w:cs="Arial"/>
                <w:bCs/>
                <w:color w:val="000000"/>
                <w:lang w:eastAsia="en-GB"/>
              </w:rPr>
              <w:t>5</w:t>
            </w:r>
          </w:p>
        </w:tc>
      </w:tr>
      <w:tr w:rsidR="001F0225" w:rsidRPr="00687C99" w:rsidTr="00AA3A6B">
        <w:trPr>
          <w:trHeight w:val="275"/>
        </w:trPr>
        <w:tc>
          <w:tcPr>
            <w:tcW w:w="3358" w:type="dxa"/>
            <w:tcBorders>
              <w:top w:val="nil"/>
              <w:left w:val="single" w:sz="4" w:space="0" w:color="auto"/>
              <w:bottom w:val="single" w:sz="4" w:space="0" w:color="auto"/>
              <w:right w:val="single" w:sz="4" w:space="0" w:color="auto"/>
            </w:tcBorders>
            <w:shd w:val="clear" w:color="auto" w:fill="auto"/>
            <w:vAlign w:val="bottom"/>
          </w:tcPr>
          <w:p w:rsidR="001F0225" w:rsidRPr="00687C99" w:rsidRDefault="001F0225" w:rsidP="000F0941">
            <w:pPr>
              <w:rPr>
                <w:rFonts w:cs="Arial"/>
                <w:color w:val="000000"/>
                <w:lang w:eastAsia="en-GB"/>
              </w:rPr>
            </w:pPr>
            <w:r w:rsidRPr="00687C99">
              <w:rPr>
                <w:rFonts w:cs="Arial"/>
                <w:color w:val="000000"/>
                <w:lang w:eastAsia="en-GB"/>
              </w:rPr>
              <w:t>Revenue Funding</w:t>
            </w:r>
          </w:p>
        </w:tc>
        <w:tc>
          <w:tcPr>
            <w:tcW w:w="1215" w:type="dxa"/>
            <w:tcBorders>
              <w:top w:val="nil"/>
              <w:left w:val="nil"/>
              <w:bottom w:val="single" w:sz="4" w:space="0" w:color="auto"/>
              <w:right w:val="single" w:sz="4" w:space="0" w:color="auto"/>
            </w:tcBorders>
            <w:shd w:val="clear" w:color="auto" w:fill="auto"/>
            <w:noWrap/>
            <w:vAlign w:val="bottom"/>
          </w:tcPr>
          <w:p w:rsidR="001F0225" w:rsidRPr="00687C99" w:rsidRDefault="007A2F94" w:rsidP="00022161">
            <w:pPr>
              <w:jc w:val="right"/>
              <w:rPr>
                <w:rFonts w:cs="Arial"/>
                <w:color w:val="000000"/>
                <w:lang w:eastAsia="en-GB"/>
              </w:rPr>
            </w:pPr>
            <w:r w:rsidRPr="00687C99">
              <w:rPr>
                <w:rFonts w:cs="Arial"/>
                <w:color w:val="000000"/>
                <w:lang w:eastAsia="en-GB"/>
              </w:rPr>
              <w:t>9,446</w:t>
            </w:r>
          </w:p>
        </w:tc>
        <w:tc>
          <w:tcPr>
            <w:tcW w:w="1215" w:type="dxa"/>
            <w:tcBorders>
              <w:top w:val="nil"/>
              <w:left w:val="nil"/>
              <w:bottom w:val="single" w:sz="4" w:space="0" w:color="auto"/>
              <w:right w:val="single" w:sz="4" w:space="0" w:color="auto"/>
            </w:tcBorders>
            <w:shd w:val="clear" w:color="auto" w:fill="auto"/>
            <w:noWrap/>
            <w:vAlign w:val="bottom"/>
          </w:tcPr>
          <w:p w:rsidR="001F0225" w:rsidRPr="00687C99" w:rsidRDefault="007A2F94" w:rsidP="00022161">
            <w:pPr>
              <w:jc w:val="right"/>
              <w:rPr>
                <w:rFonts w:cs="Arial"/>
                <w:color w:val="000000"/>
                <w:lang w:eastAsia="en-GB"/>
              </w:rPr>
            </w:pPr>
            <w:r w:rsidRPr="00687C99">
              <w:rPr>
                <w:rFonts w:cs="Arial"/>
                <w:color w:val="000000"/>
                <w:lang w:eastAsia="en-GB"/>
              </w:rPr>
              <w:t>2,028</w:t>
            </w:r>
          </w:p>
        </w:tc>
        <w:tc>
          <w:tcPr>
            <w:tcW w:w="1348" w:type="dxa"/>
            <w:tcBorders>
              <w:top w:val="nil"/>
              <w:left w:val="nil"/>
              <w:bottom w:val="single" w:sz="4" w:space="0" w:color="auto"/>
              <w:right w:val="single" w:sz="4" w:space="0" w:color="auto"/>
            </w:tcBorders>
            <w:shd w:val="clear" w:color="auto" w:fill="auto"/>
            <w:noWrap/>
            <w:vAlign w:val="bottom"/>
          </w:tcPr>
          <w:p w:rsidR="001F0225" w:rsidRPr="00687C99" w:rsidRDefault="000055D7" w:rsidP="00022161">
            <w:pPr>
              <w:jc w:val="right"/>
              <w:rPr>
                <w:rFonts w:cs="Arial"/>
                <w:color w:val="000000"/>
                <w:lang w:eastAsia="en-GB"/>
              </w:rPr>
            </w:pPr>
            <w:r w:rsidRPr="00687C99">
              <w:rPr>
                <w:rFonts w:cs="Arial"/>
                <w:color w:val="000000"/>
                <w:lang w:eastAsia="en-GB"/>
              </w:rPr>
              <w:t>350</w:t>
            </w:r>
          </w:p>
        </w:tc>
        <w:tc>
          <w:tcPr>
            <w:tcW w:w="1348" w:type="dxa"/>
            <w:tcBorders>
              <w:top w:val="nil"/>
              <w:left w:val="nil"/>
              <w:bottom w:val="single" w:sz="4" w:space="0" w:color="auto"/>
              <w:right w:val="single" w:sz="4" w:space="0" w:color="auto"/>
            </w:tcBorders>
            <w:shd w:val="clear" w:color="auto" w:fill="auto"/>
            <w:noWrap/>
            <w:vAlign w:val="bottom"/>
          </w:tcPr>
          <w:p w:rsidR="001F0225" w:rsidRPr="00687C99" w:rsidRDefault="0019390A" w:rsidP="000055D7">
            <w:pPr>
              <w:jc w:val="right"/>
              <w:rPr>
                <w:rFonts w:cs="Arial"/>
                <w:color w:val="000000"/>
                <w:lang w:eastAsia="en-GB"/>
              </w:rPr>
            </w:pPr>
            <w:r w:rsidRPr="00687C99">
              <w:rPr>
                <w:rFonts w:cs="Arial"/>
                <w:color w:val="000000"/>
                <w:lang w:eastAsia="en-GB"/>
              </w:rPr>
              <w:t>2,</w:t>
            </w:r>
            <w:r w:rsidR="000055D7" w:rsidRPr="00687C99">
              <w:rPr>
                <w:rFonts w:cs="Arial"/>
                <w:color w:val="000000"/>
                <w:lang w:eastAsia="en-GB"/>
              </w:rPr>
              <w:t>771</w:t>
            </w:r>
          </w:p>
        </w:tc>
      </w:tr>
      <w:tr w:rsidR="001F0225" w:rsidRPr="00687C99" w:rsidTr="00AA3A6B">
        <w:trPr>
          <w:trHeight w:val="285"/>
        </w:trPr>
        <w:tc>
          <w:tcPr>
            <w:tcW w:w="3358" w:type="dxa"/>
            <w:tcBorders>
              <w:top w:val="nil"/>
              <w:left w:val="single" w:sz="4" w:space="0" w:color="auto"/>
              <w:bottom w:val="single" w:sz="4" w:space="0" w:color="auto"/>
              <w:right w:val="single" w:sz="4" w:space="0" w:color="auto"/>
            </w:tcBorders>
            <w:shd w:val="clear" w:color="auto" w:fill="auto"/>
            <w:vAlign w:val="bottom"/>
          </w:tcPr>
          <w:p w:rsidR="001F0225" w:rsidRPr="00687C99" w:rsidRDefault="001F0225" w:rsidP="000F0941">
            <w:pPr>
              <w:rPr>
                <w:rFonts w:cs="Arial"/>
                <w:color w:val="000000"/>
                <w:lang w:eastAsia="en-GB"/>
              </w:rPr>
            </w:pPr>
            <w:r w:rsidRPr="00687C99">
              <w:rPr>
                <w:rFonts w:cs="Arial"/>
                <w:color w:val="000000"/>
                <w:lang w:eastAsia="en-GB"/>
              </w:rPr>
              <w:t>Section 106</w:t>
            </w:r>
          </w:p>
        </w:tc>
        <w:tc>
          <w:tcPr>
            <w:tcW w:w="1215" w:type="dxa"/>
            <w:tcBorders>
              <w:top w:val="nil"/>
              <w:left w:val="nil"/>
              <w:bottom w:val="single" w:sz="4" w:space="0" w:color="auto"/>
              <w:right w:val="single" w:sz="4" w:space="0" w:color="auto"/>
            </w:tcBorders>
            <w:shd w:val="clear" w:color="auto" w:fill="auto"/>
            <w:noWrap/>
            <w:vAlign w:val="bottom"/>
          </w:tcPr>
          <w:p w:rsidR="001F0225" w:rsidRPr="00687C99" w:rsidRDefault="007A2F94" w:rsidP="00B55C1D">
            <w:pPr>
              <w:jc w:val="right"/>
              <w:rPr>
                <w:rFonts w:cs="Arial"/>
                <w:color w:val="000000"/>
                <w:lang w:eastAsia="en-GB"/>
              </w:rPr>
            </w:pPr>
            <w:r w:rsidRPr="00687C99">
              <w:rPr>
                <w:rFonts w:cs="Arial"/>
                <w:color w:val="000000"/>
                <w:lang w:eastAsia="en-GB"/>
              </w:rPr>
              <w:t>326</w:t>
            </w:r>
          </w:p>
        </w:tc>
        <w:tc>
          <w:tcPr>
            <w:tcW w:w="1215" w:type="dxa"/>
            <w:tcBorders>
              <w:top w:val="nil"/>
              <w:left w:val="nil"/>
              <w:bottom w:val="single" w:sz="4" w:space="0" w:color="auto"/>
              <w:right w:val="single" w:sz="4" w:space="0" w:color="auto"/>
            </w:tcBorders>
            <w:shd w:val="clear" w:color="auto" w:fill="auto"/>
            <w:noWrap/>
            <w:vAlign w:val="bottom"/>
          </w:tcPr>
          <w:p w:rsidR="001F0225" w:rsidRPr="00687C99" w:rsidRDefault="0019390A" w:rsidP="00B55C1D">
            <w:pPr>
              <w:jc w:val="right"/>
              <w:rPr>
                <w:rFonts w:cs="Arial"/>
                <w:color w:val="000000"/>
                <w:lang w:eastAsia="en-GB"/>
              </w:rPr>
            </w:pPr>
            <w:r w:rsidRPr="00687C99">
              <w:rPr>
                <w:rFonts w:cs="Arial"/>
                <w:color w:val="000000"/>
                <w:lang w:eastAsia="en-GB"/>
              </w:rPr>
              <w:t>200</w:t>
            </w:r>
          </w:p>
        </w:tc>
        <w:tc>
          <w:tcPr>
            <w:tcW w:w="1348" w:type="dxa"/>
            <w:tcBorders>
              <w:top w:val="nil"/>
              <w:left w:val="nil"/>
              <w:bottom w:val="single" w:sz="4" w:space="0" w:color="auto"/>
              <w:right w:val="single" w:sz="4" w:space="0" w:color="auto"/>
            </w:tcBorders>
            <w:shd w:val="clear" w:color="auto" w:fill="auto"/>
            <w:noWrap/>
            <w:vAlign w:val="bottom"/>
          </w:tcPr>
          <w:p w:rsidR="001F0225" w:rsidRPr="00687C99" w:rsidRDefault="0019390A" w:rsidP="00B55C1D">
            <w:pPr>
              <w:jc w:val="right"/>
              <w:rPr>
                <w:rFonts w:cs="Arial"/>
                <w:color w:val="000000"/>
                <w:lang w:eastAsia="en-GB"/>
              </w:rPr>
            </w:pPr>
            <w:r w:rsidRPr="00687C99">
              <w:rPr>
                <w:rFonts w:cs="Arial"/>
                <w:color w:val="000000"/>
                <w:lang w:eastAsia="en-GB"/>
              </w:rPr>
              <w:t>0</w:t>
            </w:r>
          </w:p>
        </w:tc>
        <w:tc>
          <w:tcPr>
            <w:tcW w:w="1348" w:type="dxa"/>
            <w:tcBorders>
              <w:top w:val="nil"/>
              <w:left w:val="nil"/>
              <w:bottom w:val="single" w:sz="4" w:space="0" w:color="auto"/>
              <w:right w:val="single" w:sz="4" w:space="0" w:color="auto"/>
            </w:tcBorders>
            <w:shd w:val="clear" w:color="auto" w:fill="auto"/>
            <w:noWrap/>
            <w:vAlign w:val="bottom"/>
          </w:tcPr>
          <w:p w:rsidR="001F0225" w:rsidRPr="00687C99" w:rsidRDefault="0019390A" w:rsidP="00B55C1D">
            <w:pPr>
              <w:jc w:val="right"/>
              <w:rPr>
                <w:rFonts w:cs="Arial"/>
                <w:color w:val="000000"/>
                <w:lang w:eastAsia="en-GB"/>
              </w:rPr>
            </w:pPr>
            <w:r w:rsidRPr="00687C99">
              <w:rPr>
                <w:rFonts w:cs="Arial"/>
                <w:color w:val="000000"/>
                <w:lang w:eastAsia="en-GB"/>
              </w:rPr>
              <w:t>0</w:t>
            </w:r>
          </w:p>
        </w:tc>
      </w:tr>
      <w:tr w:rsidR="001F0225" w:rsidRPr="00687C99" w:rsidTr="000F0941">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1F0225" w:rsidRPr="00687C99" w:rsidRDefault="001F0225" w:rsidP="000F0941">
            <w:pPr>
              <w:rPr>
                <w:rFonts w:cs="Arial"/>
                <w:bCs/>
                <w:color w:val="000000"/>
                <w:lang w:eastAsia="en-GB"/>
              </w:rPr>
            </w:pPr>
            <w:r w:rsidRPr="00687C99">
              <w:rPr>
                <w:rFonts w:cs="Arial"/>
                <w:bCs/>
                <w:color w:val="000000"/>
                <w:lang w:eastAsia="en-GB"/>
              </w:rPr>
              <w:t>Community Infrastructure Levy</w:t>
            </w:r>
          </w:p>
        </w:tc>
        <w:tc>
          <w:tcPr>
            <w:tcW w:w="1215" w:type="dxa"/>
            <w:tcBorders>
              <w:top w:val="nil"/>
              <w:left w:val="nil"/>
              <w:bottom w:val="single" w:sz="4" w:space="0" w:color="auto"/>
              <w:right w:val="single" w:sz="4" w:space="0" w:color="auto"/>
            </w:tcBorders>
            <w:shd w:val="clear" w:color="auto" w:fill="auto"/>
            <w:noWrap/>
            <w:vAlign w:val="bottom"/>
          </w:tcPr>
          <w:p w:rsidR="001F0225" w:rsidRPr="00687C99" w:rsidRDefault="0019390A" w:rsidP="00B55C1D">
            <w:pPr>
              <w:jc w:val="right"/>
              <w:rPr>
                <w:rFonts w:cs="Arial"/>
                <w:bCs/>
                <w:color w:val="000000"/>
                <w:lang w:eastAsia="en-GB"/>
              </w:rPr>
            </w:pPr>
            <w:r w:rsidRPr="00687C99">
              <w:rPr>
                <w:rFonts w:cs="Arial"/>
                <w:bCs/>
                <w:color w:val="000000"/>
                <w:lang w:eastAsia="en-GB"/>
              </w:rPr>
              <w:t>2,247</w:t>
            </w:r>
          </w:p>
        </w:tc>
        <w:tc>
          <w:tcPr>
            <w:tcW w:w="1215" w:type="dxa"/>
            <w:tcBorders>
              <w:top w:val="nil"/>
              <w:left w:val="nil"/>
              <w:bottom w:val="single" w:sz="4" w:space="0" w:color="auto"/>
              <w:right w:val="single" w:sz="4" w:space="0" w:color="auto"/>
            </w:tcBorders>
            <w:shd w:val="clear" w:color="auto" w:fill="auto"/>
            <w:noWrap/>
            <w:vAlign w:val="bottom"/>
          </w:tcPr>
          <w:p w:rsidR="001F0225" w:rsidRPr="00687C99" w:rsidRDefault="0019390A" w:rsidP="00B55C1D">
            <w:pPr>
              <w:jc w:val="right"/>
              <w:rPr>
                <w:rFonts w:cs="Arial"/>
                <w:bCs/>
                <w:color w:val="000000"/>
                <w:lang w:eastAsia="en-GB"/>
              </w:rPr>
            </w:pPr>
            <w:r w:rsidRPr="00687C99">
              <w:rPr>
                <w:rFonts w:cs="Arial"/>
                <w:bCs/>
                <w:color w:val="000000"/>
                <w:lang w:eastAsia="en-GB"/>
              </w:rPr>
              <w:t>380</w:t>
            </w:r>
          </w:p>
        </w:tc>
        <w:tc>
          <w:tcPr>
            <w:tcW w:w="1348" w:type="dxa"/>
            <w:tcBorders>
              <w:top w:val="nil"/>
              <w:left w:val="nil"/>
              <w:bottom w:val="single" w:sz="4" w:space="0" w:color="auto"/>
              <w:right w:val="single" w:sz="4" w:space="0" w:color="auto"/>
            </w:tcBorders>
            <w:shd w:val="clear" w:color="auto" w:fill="auto"/>
            <w:noWrap/>
            <w:vAlign w:val="bottom"/>
          </w:tcPr>
          <w:p w:rsidR="001F0225" w:rsidRPr="00687C99" w:rsidRDefault="0019390A" w:rsidP="00B55C1D">
            <w:pPr>
              <w:jc w:val="right"/>
              <w:rPr>
                <w:rFonts w:cs="Arial"/>
                <w:bCs/>
                <w:color w:val="000000"/>
                <w:lang w:eastAsia="en-GB"/>
              </w:rPr>
            </w:pPr>
            <w:r w:rsidRPr="00687C99">
              <w:rPr>
                <w:rFonts w:cs="Arial"/>
                <w:bCs/>
                <w:color w:val="000000"/>
                <w:lang w:eastAsia="en-GB"/>
              </w:rPr>
              <w:t>750</w:t>
            </w:r>
          </w:p>
        </w:tc>
        <w:tc>
          <w:tcPr>
            <w:tcW w:w="1348" w:type="dxa"/>
            <w:tcBorders>
              <w:top w:val="nil"/>
              <w:left w:val="nil"/>
              <w:bottom w:val="single" w:sz="4" w:space="0" w:color="auto"/>
              <w:right w:val="single" w:sz="4" w:space="0" w:color="auto"/>
            </w:tcBorders>
            <w:shd w:val="clear" w:color="auto" w:fill="auto"/>
            <w:noWrap/>
            <w:vAlign w:val="bottom"/>
          </w:tcPr>
          <w:p w:rsidR="001F0225" w:rsidRPr="00687C99" w:rsidRDefault="0019390A" w:rsidP="00B55C1D">
            <w:pPr>
              <w:jc w:val="right"/>
              <w:rPr>
                <w:rFonts w:cs="Arial"/>
                <w:bCs/>
                <w:color w:val="000000"/>
                <w:lang w:eastAsia="en-GB"/>
              </w:rPr>
            </w:pPr>
            <w:r w:rsidRPr="00687C99">
              <w:rPr>
                <w:rFonts w:cs="Arial"/>
                <w:bCs/>
                <w:color w:val="000000"/>
                <w:lang w:eastAsia="en-GB"/>
              </w:rPr>
              <w:t>200</w:t>
            </w:r>
          </w:p>
        </w:tc>
      </w:tr>
      <w:tr w:rsidR="001F0225" w:rsidRPr="00687C99" w:rsidTr="000F0941">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1F0225" w:rsidRPr="00687C99" w:rsidRDefault="001F0225" w:rsidP="000F0941">
            <w:pPr>
              <w:rPr>
                <w:rFonts w:cs="Arial"/>
                <w:bCs/>
                <w:color w:val="000000"/>
                <w:lang w:eastAsia="en-GB"/>
              </w:rPr>
            </w:pPr>
            <w:r w:rsidRPr="00687C99">
              <w:rPr>
                <w:rFonts w:cs="Arial"/>
                <w:bCs/>
                <w:color w:val="000000"/>
                <w:lang w:eastAsia="en-GB"/>
              </w:rPr>
              <w:t>Grants</w:t>
            </w:r>
          </w:p>
        </w:tc>
        <w:tc>
          <w:tcPr>
            <w:tcW w:w="1215" w:type="dxa"/>
            <w:tcBorders>
              <w:top w:val="nil"/>
              <w:left w:val="nil"/>
              <w:bottom w:val="single" w:sz="4" w:space="0" w:color="auto"/>
              <w:right w:val="single" w:sz="4" w:space="0" w:color="auto"/>
            </w:tcBorders>
            <w:shd w:val="clear" w:color="auto" w:fill="auto"/>
            <w:noWrap/>
            <w:vAlign w:val="bottom"/>
          </w:tcPr>
          <w:p w:rsidR="001F0225" w:rsidRPr="00687C99" w:rsidRDefault="0019390A" w:rsidP="007A2F94">
            <w:pPr>
              <w:jc w:val="right"/>
              <w:rPr>
                <w:rFonts w:cs="Arial"/>
                <w:bCs/>
                <w:color w:val="000000"/>
                <w:lang w:eastAsia="en-GB"/>
              </w:rPr>
            </w:pPr>
            <w:r w:rsidRPr="00687C99">
              <w:rPr>
                <w:rFonts w:cs="Arial"/>
                <w:bCs/>
                <w:color w:val="000000"/>
                <w:lang w:eastAsia="en-GB"/>
              </w:rPr>
              <w:t>2,</w:t>
            </w:r>
            <w:r w:rsidR="007A2F94" w:rsidRPr="00687C99">
              <w:rPr>
                <w:rFonts w:cs="Arial"/>
                <w:bCs/>
                <w:color w:val="000000"/>
                <w:lang w:eastAsia="en-GB"/>
              </w:rPr>
              <w:t>011</w:t>
            </w:r>
          </w:p>
        </w:tc>
        <w:tc>
          <w:tcPr>
            <w:tcW w:w="1215" w:type="dxa"/>
            <w:tcBorders>
              <w:top w:val="nil"/>
              <w:left w:val="nil"/>
              <w:bottom w:val="single" w:sz="4" w:space="0" w:color="auto"/>
              <w:right w:val="single" w:sz="4" w:space="0" w:color="auto"/>
            </w:tcBorders>
            <w:shd w:val="clear" w:color="auto" w:fill="auto"/>
            <w:noWrap/>
            <w:vAlign w:val="bottom"/>
          </w:tcPr>
          <w:p w:rsidR="001F0225" w:rsidRPr="00687C99" w:rsidRDefault="0019390A" w:rsidP="000055D7">
            <w:pPr>
              <w:jc w:val="right"/>
              <w:rPr>
                <w:rFonts w:cs="Arial"/>
                <w:bCs/>
                <w:color w:val="000000"/>
                <w:lang w:eastAsia="en-GB"/>
              </w:rPr>
            </w:pPr>
            <w:r w:rsidRPr="00687C99">
              <w:rPr>
                <w:rFonts w:cs="Arial"/>
                <w:bCs/>
                <w:color w:val="000000"/>
                <w:lang w:eastAsia="en-GB"/>
              </w:rPr>
              <w:t>2,50</w:t>
            </w:r>
            <w:r w:rsidR="000055D7" w:rsidRPr="00687C99">
              <w:rPr>
                <w:rFonts w:cs="Arial"/>
                <w:bCs/>
                <w:color w:val="000000"/>
                <w:lang w:eastAsia="en-GB"/>
              </w:rPr>
              <w:t>1</w:t>
            </w:r>
          </w:p>
        </w:tc>
        <w:tc>
          <w:tcPr>
            <w:tcW w:w="1348" w:type="dxa"/>
            <w:tcBorders>
              <w:top w:val="nil"/>
              <w:left w:val="nil"/>
              <w:bottom w:val="single" w:sz="4" w:space="0" w:color="auto"/>
              <w:right w:val="single" w:sz="4" w:space="0" w:color="auto"/>
            </w:tcBorders>
            <w:shd w:val="clear" w:color="auto" w:fill="auto"/>
            <w:noWrap/>
            <w:vAlign w:val="bottom"/>
          </w:tcPr>
          <w:p w:rsidR="001F0225" w:rsidRPr="00687C99" w:rsidRDefault="0019390A" w:rsidP="00A952AD">
            <w:pPr>
              <w:jc w:val="right"/>
              <w:rPr>
                <w:rFonts w:cs="Arial"/>
                <w:bCs/>
                <w:color w:val="000000"/>
                <w:lang w:eastAsia="en-GB"/>
              </w:rPr>
            </w:pPr>
            <w:r w:rsidRPr="00687C99">
              <w:rPr>
                <w:rFonts w:cs="Arial"/>
                <w:bCs/>
                <w:color w:val="000000"/>
                <w:lang w:eastAsia="en-GB"/>
              </w:rPr>
              <w:t>1,000</w:t>
            </w:r>
          </w:p>
        </w:tc>
        <w:tc>
          <w:tcPr>
            <w:tcW w:w="1348" w:type="dxa"/>
            <w:tcBorders>
              <w:top w:val="nil"/>
              <w:left w:val="nil"/>
              <w:bottom w:val="single" w:sz="4" w:space="0" w:color="auto"/>
              <w:right w:val="single" w:sz="4" w:space="0" w:color="auto"/>
            </w:tcBorders>
            <w:shd w:val="clear" w:color="auto" w:fill="auto"/>
            <w:noWrap/>
            <w:vAlign w:val="bottom"/>
          </w:tcPr>
          <w:p w:rsidR="001F0225" w:rsidRPr="00687C99" w:rsidRDefault="0019390A" w:rsidP="00B55C1D">
            <w:pPr>
              <w:jc w:val="right"/>
              <w:rPr>
                <w:rFonts w:cs="Arial"/>
                <w:bCs/>
                <w:color w:val="000000"/>
                <w:lang w:eastAsia="en-GB"/>
              </w:rPr>
            </w:pPr>
            <w:r w:rsidRPr="00687C99">
              <w:rPr>
                <w:rFonts w:cs="Arial"/>
                <w:bCs/>
                <w:color w:val="000000"/>
                <w:lang w:eastAsia="en-GB"/>
              </w:rPr>
              <w:t>1,000</w:t>
            </w:r>
          </w:p>
        </w:tc>
      </w:tr>
      <w:tr w:rsidR="001F0225" w:rsidRPr="00687C99" w:rsidTr="00AA3A6B">
        <w:trPr>
          <w:trHeight w:val="349"/>
        </w:trPr>
        <w:tc>
          <w:tcPr>
            <w:tcW w:w="3358" w:type="dxa"/>
            <w:tcBorders>
              <w:top w:val="nil"/>
              <w:left w:val="single" w:sz="4" w:space="0" w:color="auto"/>
              <w:bottom w:val="single" w:sz="4" w:space="0" w:color="auto"/>
              <w:right w:val="single" w:sz="4" w:space="0" w:color="auto"/>
            </w:tcBorders>
            <w:shd w:val="clear" w:color="auto" w:fill="auto"/>
            <w:vAlign w:val="bottom"/>
          </w:tcPr>
          <w:p w:rsidR="001F0225" w:rsidRPr="00687C99" w:rsidRDefault="001F0225" w:rsidP="000F0941">
            <w:pPr>
              <w:rPr>
                <w:rFonts w:cs="Arial"/>
                <w:bCs/>
                <w:color w:val="000000"/>
                <w:lang w:eastAsia="en-GB"/>
              </w:rPr>
            </w:pPr>
            <w:r w:rsidRPr="00687C99">
              <w:rPr>
                <w:rFonts w:cs="Arial"/>
                <w:bCs/>
                <w:color w:val="000000"/>
                <w:lang w:eastAsia="en-GB"/>
              </w:rPr>
              <w:t>Borrowing</w:t>
            </w:r>
          </w:p>
        </w:tc>
        <w:tc>
          <w:tcPr>
            <w:tcW w:w="1215" w:type="dxa"/>
            <w:tcBorders>
              <w:top w:val="nil"/>
              <w:left w:val="nil"/>
              <w:bottom w:val="single" w:sz="4" w:space="0" w:color="auto"/>
              <w:right w:val="single" w:sz="4" w:space="0" w:color="auto"/>
            </w:tcBorders>
            <w:shd w:val="clear" w:color="auto" w:fill="auto"/>
            <w:noWrap/>
            <w:vAlign w:val="bottom"/>
          </w:tcPr>
          <w:p w:rsidR="001F0225" w:rsidRPr="00687C99" w:rsidRDefault="0019390A" w:rsidP="00B55C1D">
            <w:pPr>
              <w:jc w:val="right"/>
              <w:rPr>
                <w:rFonts w:cs="Arial"/>
                <w:bCs/>
                <w:color w:val="000000"/>
                <w:lang w:eastAsia="en-GB"/>
              </w:rPr>
            </w:pPr>
            <w:r w:rsidRPr="00687C99">
              <w:rPr>
                <w:rFonts w:cs="Arial"/>
                <w:bCs/>
                <w:color w:val="000000"/>
                <w:lang w:eastAsia="en-GB"/>
              </w:rPr>
              <w:t>17,420</w:t>
            </w:r>
          </w:p>
        </w:tc>
        <w:tc>
          <w:tcPr>
            <w:tcW w:w="1215" w:type="dxa"/>
            <w:tcBorders>
              <w:top w:val="nil"/>
              <w:left w:val="nil"/>
              <w:bottom w:val="single" w:sz="4" w:space="0" w:color="auto"/>
              <w:right w:val="single" w:sz="4" w:space="0" w:color="auto"/>
            </w:tcBorders>
            <w:shd w:val="clear" w:color="auto" w:fill="auto"/>
            <w:noWrap/>
            <w:vAlign w:val="bottom"/>
          </w:tcPr>
          <w:p w:rsidR="001F0225" w:rsidRPr="00687C99" w:rsidRDefault="0019390A" w:rsidP="003D0EB2">
            <w:pPr>
              <w:jc w:val="right"/>
              <w:rPr>
                <w:rFonts w:cs="Arial"/>
                <w:bCs/>
                <w:color w:val="000000"/>
                <w:lang w:eastAsia="en-GB"/>
              </w:rPr>
            </w:pPr>
            <w:r w:rsidRPr="00687C99">
              <w:rPr>
                <w:rFonts w:cs="Arial"/>
                <w:bCs/>
                <w:color w:val="000000"/>
                <w:lang w:eastAsia="en-GB"/>
              </w:rPr>
              <w:t>3</w:t>
            </w:r>
            <w:r w:rsidR="003D0EB2" w:rsidRPr="00687C99">
              <w:rPr>
                <w:rFonts w:cs="Arial"/>
                <w:bCs/>
                <w:color w:val="000000"/>
                <w:lang w:eastAsia="en-GB"/>
              </w:rPr>
              <w:t>4</w:t>
            </w:r>
            <w:r w:rsidRPr="00687C99">
              <w:rPr>
                <w:rFonts w:cs="Arial"/>
                <w:bCs/>
                <w:color w:val="000000"/>
                <w:lang w:eastAsia="en-GB"/>
              </w:rPr>
              <w:t>,039</w:t>
            </w:r>
          </w:p>
        </w:tc>
        <w:tc>
          <w:tcPr>
            <w:tcW w:w="1348" w:type="dxa"/>
            <w:tcBorders>
              <w:top w:val="nil"/>
              <w:left w:val="nil"/>
              <w:bottom w:val="single" w:sz="4" w:space="0" w:color="auto"/>
              <w:right w:val="single" w:sz="4" w:space="0" w:color="auto"/>
            </w:tcBorders>
            <w:shd w:val="clear" w:color="auto" w:fill="auto"/>
            <w:noWrap/>
            <w:vAlign w:val="bottom"/>
          </w:tcPr>
          <w:p w:rsidR="001F0225" w:rsidRPr="00687C99" w:rsidRDefault="0019390A" w:rsidP="003D0EB2">
            <w:pPr>
              <w:jc w:val="right"/>
              <w:rPr>
                <w:rFonts w:cs="Arial"/>
                <w:bCs/>
                <w:color w:val="000000"/>
                <w:lang w:eastAsia="en-GB"/>
              </w:rPr>
            </w:pPr>
            <w:r w:rsidRPr="00687C99">
              <w:rPr>
                <w:rFonts w:cs="Arial"/>
                <w:bCs/>
                <w:color w:val="000000"/>
                <w:lang w:eastAsia="en-GB"/>
              </w:rPr>
              <w:t>1</w:t>
            </w:r>
            <w:r w:rsidR="003D0EB2" w:rsidRPr="00687C99">
              <w:rPr>
                <w:rFonts w:cs="Arial"/>
                <w:bCs/>
                <w:color w:val="000000"/>
                <w:lang w:eastAsia="en-GB"/>
              </w:rPr>
              <w:t>7</w:t>
            </w:r>
            <w:r w:rsidRPr="00687C99">
              <w:rPr>
                <w:rFonts w:cs="Arial"/>
                <w:bCs/>
                <w:color w:val="000000"/>
                <w:lang w:eastAsia="en-GB"/>
              </w:rPr>
              <w:t>,708</w:t>
            </w:r>
          </w:p>
        </w:tc>
        <w:tc>
          <w:tcPr>
            <w:tcW w:w="1348" w:type="dxa"/>
            <w:tcBorders>
              <w:top w:val="nil"/>
              <w:left w:val="nil"/>
              <w:bottom w:val="single" w:sz="4" w:space="0" w:color="auto"/>
              <w:right w:val="single" w:sz="4" w:space="0" w:color="auto"/>
            </w:tcBorders>
            <w:shd w:val="clear" w:color="auto" w:fill="auto"/>
            <w:noWrap/>
            <w:vAlign w:val="bottom"/>
          </w:tcPr>
          <w:p w:rsidR="001F0225" w:rsidRPr="00687C99" w:rsidRDefault="0019390A" w:rsidP="000055D7">
            <w:pPr>
              <w:jc w:val="right"/>
              <w:rPr>
                <w:rFonts w:cs="Arial"/>
                <w:bCs/>
                <w:color w:val="000000"/>
                <w:lang w:eastAsia="en-GB"/>
              </w:rPr>
            </w:pPr>
            <w:r w:rsidRPr="00687C99">
              <w:rPr>
                <w:rFonts w:cs="Arial"/>
                <w:bCs/>
                <w:color w:val="000000"/>
                <w:lang w:eastAsia="en-GB"/>
              </w:rPr>
              <w:t>1</w:t>
            </w:r>
            <w:r w:rsidR="003D0EB2" w:rsidRPr="00687C99">
              <w:rPr>
                <w:rFonts w:cs="Arial"/>
                <w:bCs/>
                <w:color w:val="000000"/>
                <w:lang w:eastAsia="en-GB"/>
              </w:rPr>
              <w:t>2</w:t>
            </w:r>
            <w:r w:rsidRPr="00687C99">
              <w:rPr>
                <w:rFonts w:cs="Arial"/>
                <w:bCs/>
                <w:color w:val="000000"/>
                <w:lang w:eastAsia="en-GB"/>
              </w:rPr>
              <w:t>,70</w:t>
            </w:r>
            <w:r w:rsidR="000055D7" w:rsidRPr="00687C99">
              <w:rPr>
                <w:rFonts w:cs="Arial"/>
                <w:bCs/>
                <w:color w:val="000000"/>
                <w:lang w:eastAsia="en-GB"/>
              </w:rPr>
              <w:t>5</w:t>
            </w:r>
          </w:p>
        </w:tc>
      </w:tr>
      <w:tr w:rsidR="001F0225" w:rsidRPr="00687C99" w:rsidTr="000F0941">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F735F9" w:rsidRPr="00687C99" w:rsidRDefault="00173063" w:rsidP="00F735F9">
            <w:pPr>
              <w:rPr>
                <w:rFonts w:cs="Arial"/>
                <w:bCs/>
                <w:color w:val="000000"/>
                <w:lang w:eastAsia="en-GB"/>
              </w:rPr>
            </w:pPr>
            <w:r w:rsidRPr="00687C99">
              <w:rPr>
                <w:rFonts w:cs="Arial"/>
                <w:bCs/>
                <w:color w:val="000000"/>
                <w:lang w:eastAsia="en-GB"/>
              </w:rPr>
              <w:t>Museum</w:t>
            </w:r>
            <w:r w:rsidR="00513B51" w:rsidRPr="00687C99">
              <w:rPr>
                <w:rFonts w:cs="Arial"/>
                <w:bCs/>
                <w:color w:val="000000"/>
                <w:lang w:eastAsia="en-GB"/>
              </w:rPr>
              <w:t xml:space="preserve"> </w:t>
            </w:r>
            <w:r w:rsidR="00F735F9" w:rsidRPr="00687C99">
              <w:rPr>
                <w:rFonts w:cs="Arial"/>
                <w:bCs/>
                <w:color w:val="000000"/>
                <w:lang w:eastAsia="en-GB"/>
              </w:rPr>
              <w:t xml:space="preserve">Trust Funding </w:t>
            </w:r>
          </w:p>
        </w:tc>
        <w:tc>
          <w:tcPr>
            <w:tcW w:w="1215" w:type="dxa"/>
            <w:tcBorders>
              <w:top w:val="nil"/>
              <w:left w:val="nil"/>
              <w:bottom w:val="single" w:sz="4" w:space="0" w:color="auto"/>
              <w:right w:val="single" w:sz="4" w:space="0" w:color="auto"/>
            </w:tcBorders>
            <w:shd w:val="clear" w:color="auto" w:fill="auto"/>
            <w:noWrap/>
            <w:vAlign w:val="bottom"/>
          </w:tcPr>
          <w:p w:rsidR="001F0225" w:rsidRPr="00687C99" w:rsidRDefault="0019390A" w:rsidP="00B55C1D">
            <w:pPr>
              <w:jc w:val="right"/>
              <w:rPr>
                <w:rFonts w:cs="Arial"/>
                <w:bCs/>
                <w:color w:val="000000"/>
                <w:lang w:eastAsia="en-GB"/>
              </w:rPr>
            </w:pPr>
            <w:r w:rsidRPr="00687C99">
              <w:rPr>
                <w:rFonts w:cs="Arial"/>
                <w:bCs/>
                <w:color w:val="000000"/>
                <w:lang w:eastAsia="en-GB"/>
              </w:rPr>
              <w:t>400</w:t>
            </w:r>
          </w:p>
        </w:tc>
        <w:tc>
          <w:tcPr>
            <w:tcW w:w="1215" w:type="dxa"/>
            <w:tcBorders>
              <w:top w:val="nil"/>
              <w:left w:val="nil"/>
              <w:bottom w:val="single" w:sz="4" w:space="0" w:color="auto"/>
              <w:right w:val="single" w:sz="4" w:space="0" w:color="auto"/>
            </w:tcBorders>
            <w:shd w:val="clear" w:color="auto" w:fill="auto"/>
            <w:noWrap/>
            <w:vAlign w:val="bottom"/>
          </w:tcPr>
          <w:p w:rsidR="001F0225" w:rsidRPr="00687C99" w:rsidRDefault="0019390A" w:rsidP="00B55C1D">
            <w:pPr>
              <w:jc w:val="right"/>
              <w:rPr>
                <w:rFonts w:cs="Arial"/>
                <w:bCs/>
                <w:color w:val="000000"/>
                <w:lang w:eastAsia="en-GB"/>
              </w:rPr>
            </w:pPr>
            <w:r w:rsidRPr="00687C99">
              <w:rPr>
                <w:rFonts w:cs="Arial"/>
                <w:bCs/>
                <w:color w:val="000000"/>
                <w:lang w:eastAsia="en-GB"/>
              </w:rPr>
              <w:t>0</w:t>
            </w:r>
          </w:p>
        </w:tc>
        <w:tc>
          <w:tcPr>
            <w:tcW w:w="1348" w:type="dxa"/>
            <w:tcBorders>
              <w:top w:val="nil"/>
              <w:left w:val="nil"/>
              <w:bottom w:val="single" w:sz="4" w:space="0" w:color="auto"/>
              <w:right w:val="single" w:sz="4" w:space="0" w:color="auto"/>
            </w:tcBorders>
            <w:shd w:val="clear" w:color="auto" w:fill="auto"/>
            <w:noWrap/>
            <w:vAlign w:val="bottom"/>
          </w:tcPr>
          <w:p w:rsidR="001F0225" w:rsidRPr="00687C99" w:rsidRDefault="0019390A" w:rsidP="00B55C1D">
            <w:pPr>
              <w:jc w:val="right"/>
              <w:rPr>
                <w:rFonts w:cs="Arial"/>
                <w:bCs/>
                <w:color w:val="000000"/>
                <w:lang w:eastAsia="en-GB"/>
              </w:rPr>
            </w:pPr>
            <w:r w:rsidRPr="00687C99">
              <w:rPr>
                <w:rFonts w:cs="Arial"/>
                <w:bCs/>
                <w:color w:val="000000"/>
                <w:lang w:eastAsia="en-GB"/>
              </w:rPr>
              <w:t>0</w:t>
            </w:r>
          </w:p>
        </w:tc>
        <w:tc>
          <w:tcPr>
            <w:tcW w:w="1348" w:type="dxa"/>
            <w:tcBorders>
              <w:top w:val="nil"/>
              <w:left w:val="nil"/>
              <w:bottom w:val="single" w:sz="4" w:space="0" w:color="auto"/>
              <w:right w:val="single" w:sz="4" w:space="0" w:color="auto"/>
            </w:tcBorders>
            <w:shd w:val="clear" w:color="auto" w:fill="auto"/>
            <w:noWrap/>
            <w:vAlign w:val="bottom"/>
          </w:tcPr>
          <w:p w:rsidR="001F0225" w:rsidRPr="00687C99" w:rsidRDefault="0019390A" w:rsidP="00B55C1D">
            <w:pPr>
              <w:jc w:val="right"/>
              <w:rPr>
                <w:rFonts w:cs="Arial"/>
                <w:bCs/>
                <w:color w:val="000000"/>
                <w:lang w:eastAsia="en-GB"/>
              </w:rPr>
            </w:pPr>
            <w:r w:rsidRPr="00687C99">
              <w:rPr>
                <w:rFonts w:cs="Arial"/>
                <w:bCs/>
                <w:color w:val="000000"/>
                <w:lang w:eastAsia="en-GB"/>
              </w:rPr>
              <w:t>0</w:t>
            </w:r>
          </w:p>
        </w:tc>
      </w:tr>
      <w:tr w:rsidR="001F0225" w:rsidRPr="00687C99" w:rsidTr="000F0941">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1F0225" w:rsidRPr="00687C99" w:rsidRDefault="001F0225" w:rsidP="000F0941">
            <w:pPr>
              <w:rPr>
                <w:rFonts w:cs="Arial"/>
                <w:b/>
                <w:bCs/>
                <w:color w:val="000000"/>
                <w:lang w:eastAsia="en-GB"/>
              </w:rPr>
            </w:pPr>
            <w:r w:rsidRPr="00687C99">
              <w:rPr>
                <w:rFonts w:cs="Arial"/>
                <w:b/>
                <w:bCs/>
                <w:color w:val="000000"/>
                <w:lang w:eastAsia="en-GB"/>
              </w:rPr>
              <w:t>TOTAL GENERAL FUND</w:t>
            </w:r>
          </w:p>
        </w:tc>
        <w:tc>
          <w:tcPr>
            <w:tcW w:w="1215" w:type="dxa"/>
            <w:tcBorders>
              <w:top w:val="nil"/>
              <w:left w:val="nil"/>
              <w:bottom w:val="single" w:sz="4" w:space="0" w:color="auto"/>
              <w:right w:val="single" w:sz="4" w:space="0" w:color="auto"/>
            </w:tcBorders>
            <w:shd w:val="clear" w:color="auto" w:fill="auto"/>
            <w:noWrap/>
            <w:vAlign w:val="bottom"/>
          </w:tcPr>
          <w:p w:rsidR="001F0225" w:rsidRPr="00687C99" w:rsidRDefault="001F0225" w:rsidP="007A2F94">
            <w:pPr>
              <w:jc w:val="right"/>
              <w:rPr>
                <w:rFonts w:cs="Arial"/>
                <w:b/>
                <w:bCs/>
                <w:color w:val="000000"/>
                <w:lang w:eastAsia="en-GB"/>
              </w:rPr>
            </w:pPr>
            <w:r w:rsidRPr="00687C99">
              <w:rPr>
                <w:rFonts w:cs="Arial"/>
                <w:b/>
                <w:bCs/>
                <w:color w:val="000000"/>
                <w:lang w:eastAsia="en-GB"/>
              </w:rPr>
              <w:t>4</w:t>
            </w:r>
            <w:r w:rsidR="007A2F94" w:rsidRPr="00687C99">
              <w:rPr>
                <w:rFonts w:cs="Arial"/>
                <w:b/>
                <w:bCs/>
                <w:color w:val="000000"/>
                <w:lang w:eastAsia="en-GB"/>
              </w:rPr>
              <w:t>0</w:t>
            </w:r>
            <w:r w:rsidRPr="00687C99">
              <w:rPr>
                <w:rFonts w:cs="Arial"/>
                <w:b/>
                <w:bCs/>
                <w:color w:val="000000"/>
                <w:lang w:eastAsia="en-GB"/>
              </w:rPr>
              <w:t>,</w:t>
            </w:r>
            <w:r w:rsidR="007A2F94" w:rsidRPr="00687C99">
              <w:rPr>
                <w:rFonts w:cs="Arial"/>
                <w:b/>
                <w:bCs/>
                <w:color w:val="000000"/>
                <w:lang w:eastAsia="en-GB"/>
              </w:rPr>
              <w:t>939</w:t>
            </w:r>
          </w:p>
        </w:tc>
        <w:tc>
          <w:tcPr>
            <w:tcW w:w="1215" w:type="dxa"/>
            <w:tcBorders>
              <w:top w:val="nil"/>
              <w:left w:val="nil"/>
              <w:bottom w:val="single" w:sz="4" w:space="0" w:color="auto"/>
              <w:right w:val="single" w:sz="4" w:space="0" w:color="auto"/>
            </w:tcBorders>
            <w:shd w:val="clear" w:color="auto" w:fill="auto"/>
            <w:noWrap/>
            <w:vAlign w:val="bottom"/>
          </w:tcPr>
          <w:p w:rsidR="001F0225" w:rsidRPr="00687C99" w:rsidRDefault="001F0225" w:rsidP="000055D7">
            <w:pPr>
              <w:jc w:val="right"/>
              <w:rPr>
                <w:rFonts w:cs="Arial"/>
                <w:b/>
                <w:bCs/>
                <w:color w:val="000000"/>
                <w:lang w:eastAsia="en-GB"/>
              </w:rPr>
            </w:pPr>
            <w:r w:rsidRPr="00687C99">
              <w:rPr>
                <w:rFonts w:cs="Arial"/>
                <w:b/>
                <w:bCs/>
                <w:color w:val="000000"/>
                <w:lang w:eastAsia="en-GB"/>
              </w:rPr>
              <w:t>5</w:t>
            </w:r>
            <w:r w:rsidR="007A2F94" w:rsidRPr="00687C99">
              <w:rPr>
                <w:rFonts w:cs="Arial"/>
                <w:b/>
                <w:bCs/>
                <w:color w:val="000000"/>
                <w:lang w:eastAsia="en-GB"/>
              </w:rPr>
              <w:t>0</w:t>
            </w:r>
            <w:r w:rsidRPr="00687C99">
              <w:rPr>
                <w:rFonts w:cs="Arial"/>
                <w:b/>
                <w:bCs/>
                <w:color w:val="000000"/>
                <w:lang w:eastAsia="en-GB"/>
              </w:rPr>
              <w:t>,</w:t>
            </w:r>
            <w:r w:rsidR="000055D7" w:rsidRPr="00687C99">
              <w:rPr>
                <w:rFonts w:cs="Arial"/>
                <w:b/>
                <w:bCs/>
                <w:color w:val="000000"/>
                <w:lang w:eastAsia="en-GB"/>
              </w:rPr>
              <w:t>505</w:t>
            </w:r>
          </w:p>
        </w:tc>
        <w:tc>
          <w:tcPr>
            <w:tcW w:w="1348" w:type="dxa"/>
            <w:tcBorders>
              <w:top w:val="nil"/>
              <w:left w:val="nil"/>
              <w:bottom w:val="single" w:sz="4" w:space="0" w:color="auto"/>
              <w:right w:val="single" w:sz="4" w:space="0" w:color="auto"/>
            </w:tcBorders>
            <w:shd w:val="clear" w:color="auto" w:fill="auto"/>
            <w:noWrap/>
            <w:vAlign w:val="bottom"/>
          </w:tcPr>
          <w:p w:rsidR="001F0225" w:rsidRPr="00687C99" w:rsidRDefault="001F0225" w:rsidP="000055D7">
            <w:pPr>
              <w:jc w:val="right"/>
              <w:rPr>
                <w:rFonts w:cs="Arial"/>
                <w:b/>
                <w:bCs/>
                <w:color w:val="000000"/>
                <w:lang w:eastAsia="en-GB"/>
              </w:rPr>
            </w:pPr>
            <w:r w:rsidRPr="00687C99">
              <w:rPr>
                <w:rFonts w:cs="Arial"/>
                <w:b/>
                <w:bCs/>
                <w:color w:val="000000"/>
                <w:lang w:eastAsia="en-GB"/>
              </w:rPr>
              <w:t>2</w:t>
            </w:r>
            <w:r w:rsidR="000055D7" w:rsidRPr="00687C99">
              <w:rPr>
                <w:rFonts w:cs="Arial"/>
                <w:b/>
                <w:bCs/>
                <w:color w:val="000000"/>
                <w:lang w:eastAsia="en-GB"/>
              </w:rPr>
              <w:t>5</w:t>
            </w:r>
            <w:r w:rsidRPr="00687C99">
              <w:rPr>
                <w:rFonts w:cs="Arial"/>
                <w:b/>
                <w:bCs/>
                <w:color w:val="000000"/>
                <w:lang w:eastAsia="en-GB"/>
              </w:rPr>
              <w:t>,</w:t>
            </w:r>
            <w:r w:rsidR="000055D7" w:rsidRPr="00687C99">
              <w:rPr>
                <w:rFonts w:cs="Arial"/>
                <w:b/>
                <w:bCs/>
                <w:color w:val="000000"/>
                <w:lang w:eastAsia="en-GB"/>
              </w:rPr>
              <w:t>588</w:t>
            </w:r>
          </w:p>
        </w:tc>
        <w:tc>
          <w:tcPr>
            <w:tcW w:w="1348" w:type="dxa"/>
            <w:tcBorders>
              <w:top w:val="nil"/>
              <w:left w:val="nil"/>
              <w:bottom w:val="single" w:sz="4" w:space="0" w:color="auto"/>
              <w:right w:val="single" w:sz="4" w:space="0" w:color="auto"/>
            </w:tcBorders>
            <w:shd w:val="clear" w:color="auto" w:fill="auto"/>
            <w:noWrap/>
            <w:vAlign w:val="bottom"/>
          </w:tcPr>
          <w:p w:rsidR="001F0225" w:rsidRPr="00687C99" w:rsidRDefault="001F0225" w:rsidP="000055D7">
            <w:pPr>
              <w:jc w:val="right"/>
              <w:rPr>
                <w:rFonts w:cs="Arial"/>
                <w:b/>
                <w:bCs/>
                <w:color w:val="000000"/>
                <w:lang w:eastAsia="en-GB"/>
              </w:rPr>
            </w:pPr>
            <w:r w:rsidRPr="00687C99">
              <w:rPr>
                <w:rFonts w:cs="Arial"/>
                <w:b/>
                <w:bCs/>
                <w:color w:val="000000"/>
                <w:lang w:eastAsia="en-GB"/>
              </w:rPr>
              <w:t>2</w:t>
            </w:r>
            <w:r w:rsidR="00022161" w:rsidRPr="00687C99">
              <w:rPr>
                <w:rFonts w:cs="Arial"/>
                <w:b/>
                <w:bCs/>
                <w:color w:val="000000"/>
                <w:lang w:eastAsia="en-GB"/>
              </w:rPr>
              <w:t>7</w:t>
            </w:r>
            <w:r w:rsidRPr="00687C99">
              <w:rPr>
                <w:rFonts w:cs="Arial"/>
                <w:b/>
                <w:bCs/>
                <w:color w:val="000000"/>
                <w:lang w:eastAsia="en-GB"/>
              </w:rPr>
              <w:t>,</w:t>
            </w:r>
            <w:r w:rsidR="000055D7" w:rsidRPr="00687C99">
              <w:rPr>
                <w:rFonts w:cs="Arial"/>
                <w:b/>
                <w:bCs/>
                <w:color w:val="000000"/>
                <w:lang w:eastAsia="en-GB"/>
              </w:rPr>
              <w:t>821</w:t>
            </w:r>
          </w:p>
        </w:tc>
      </w:tr>
      <w:tr w:rsidR="001F0225" w:rsidRPr="00687C99" w:rsidTr="000F0941">
        <w:trPr>
          <w:trHeight w:val="300"/>
        </w:trPr>
        <w:tc>
          <w:tcPr>
            <w:tcW w:w="3358" w:type="dxa"/>
            <w:tcBorders>
              <w:top w:val="nil"/>
              <w:left w:val="single" w:sz="4" w:space="0" w:color="auto"/>
              <w:bottom w:val="single" w:sz="4" w:space="0" w:color="auto"/>
              <w:right w:val="single" w:sz="4" w:space="0" w:color="auto"/>
            </w:tcBorders>
            <w:shd w:val="clear" w:color="auto" w:fill="BFBFBF"/>
            <w:vAlign w:val="bottom"/>
          </w:tcPr>
          <w:p w:rsidR="001F0225" w:rsidRPr="00687C99" w:rsidRDefault="001F0225" w:rsidP="000F0941">
            <w:pPr>
              <w:rPr>
                <w:rFonts w:cs="Arial"/>
                <w:b/>
                <w:bCs/>
                <w:color w:val="000000"/>
                <w:lang w:eastAsia="en-GB"/>
              </w:rPr>
            </w:pPr>
            <w:r w:rsidRPr="00687C99">
              <w:rPr>
                <w:rFonts w:cs="Arial"/>
                <w:b/>
                <w:bCs/>
                <w:color w:val="000000"/>
                <w:lang w:eastAsia="en-GB"/>
              </w:rPr>
              <w:t>HRA</w:t>
            </w:r>
          </w:p>
        </w:tc>
        <w:tc>
          <w:tcPr>
            <w:tcW w:w="1215" w:type="dxa"/>
            <w:tcBorders>
              <w:top w:val="nil"/>
              <w:left w:val="nil"/>
              <w:bottom w:val="single" w:sz="4" w:space="0" w:color="auto"/>
              <w:right w:val="single" w:sz="4" w:space="0" w:color="auto"/>
            </w:tcBorders>
            <w:shd w:val="clear" w:color="auto" w:fill="auto"/>
            <w:noWrap/>
            <w:vAlign w:val="bottom"/>
          </w:tcPr>
          <w:p w:rsidR="001F0225" w:rsidRPr="00687C99" w:rsidRDefault="001F0225" w:rsidP="000F0941">
            <w:pPr>
              <w:jc w:val="right"/>
              <w:rPr>
                <w:rFonts w:cs="Arial"/>
                <w:bCs/>
                <w:color w:val="000000"/>
                <w:lang w:eastAsia="en-GB"/>
              </w:rPr>
            </w:pPr>
          </w:p>
        </w:tc>
        <w:tc>
          <w:tcPr>
            <w:tcW w:w="1215" w:type="dxa"/>
            <w:tcBorders>
              <w:top w:val="nil"/>
              <w:left w:val="nil"/>
              <w:bottom w:val="single" w:sz="4" w:space="0" w:color="auto"/>
              <w:right w:val="single" w:sz="4" w:space="0" w:color="auto"/>
            </w:tcBorders>
            <w:shd w:val="clear" w:color="auto" w:fill="auto"/>
            <w:noWrap/>
            <w:vAlign w:val="bottom"/>
          </w:tcPr>
          <w:p w:rsidR="001F0225" w:rsidRPr="00687C99" w:rsidRDefault="001F0225" w:rsidP="000F0941">
            <w:pPr>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1F0225" w:rsidRPr="00687C99" w:rsidRDefault="001F0225" w:rsidP="000F0941">
            <w:pPr>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1F0225" w:rsidRPr="00687C99" w:rsidRDefault="001F0225" w:rsidP="000F0941">
            <w:pPr>
              <w:jc w:val="right"/>
              <w:rPr>
                <w:rFonts w:cs="Arial"/>
                <w:bCs/>
                <w:color w:val="000000"/>
                <w:lang w:eastAsia="en-GB"/>
              </w:rPr>
            </w:pPr>
          </w:p>
        </w:tc>
      </w:tr>
      <w:tr w:rsidR="001F0225" w:rsidRPr="00687C99" w:rsidTr="00AA3A6B">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1F0225" w:rsidRPr="00687C99" w:rsidRDefault="001F0225" w:rsidP="000F0941">
            <w:pPr>
              <w:rPr>
                <w:rFonts w:cs="Arial"/>
                <w:bCs/>
                <w:color w:val="000000"/>
                <w:lang w:eastAsia="en-GB"/>
              </w:rPr>
            </w:pPr>
            <w:r w:rsidRPr="00687C99">
              <w:rPr>
                <w:rFonts w:cs="Arial"/>
                <w:bCs/>
                <w:color w:val="000000"/>
                <w:lang w:eastAsia="en-GB"/>
              </w:rPr>
              <w:t>Major Repairs Reserve</w:t>
            </w:r>
          </w:p>
        </w:tc>
        <w:tc>
          <w:tcPr>
            <w:tcW w:w="1215" w:type="dxa"/>
            <w:tcBorders>
              <w:top w:val="nil"/>
              <w:left w:val="nil"/>
              <w:bottom w:val="single" w:sz="4" w:space="0" w:color="auto"/>
              <w:right w:val="single" w:sz="4" w:space="0" w:color="auto"/>
            </w:tcBorders>
            <w:shd w:val="clear" w:color="auto" w:fill="auto"/>
            <w:noWrap/>
            <w:vAlign w:val="bottom"/>
          </w:tcPr>
          <w:p w:rsidR="001F0225" w:rsidRPr="00687C99" w:rsidRDefault="007A2F94" w:rsidP="00022161">
            <w:pPr>
              <w:jc w:val="right"/>
              <w:rPr>
                <w:rFonts w:cs="Arial"/>
                <w:bCs/>
                <w:color w:val="000000"/>
                <w:lang w:eastAsia="en-GB"/>
              </w:rPr>
            </w:pPr>
            <w:r w:rsidRPr="00687C99">
              <w:rPr>
                <w:rFonts w:cs="Arial"/>
                <w:bCs/>
                <w:color w:val="000000"/>
                <w:lang w:eastAsia="en-GB"/>
              </w:rPr>
              <w:t>19,491</w:t>
            </w:r>
          </w:p>
        </w:tc>
        <w:tc>
          <w:tcPr>
            <w:tcW w:w="1215" w:type="dxa"/>
            <w:tcBorders>
              <w:top w:val="nil"/>
              <w:left w:val="nil"/>
              <w:bottom w:val="single" w:sz="4" w:space="0" w:color="auto"/>
              <w:right w:val="single" w:sz="4" w:space="0" w:color="auto"/>
            </w:tcBorders>
            <w:shd w:val="clear" w:color="auto" w:fill="auto"/>
            <w:noWrap/>
            <w:vAlign w:val="bottom"/>
          </w:tcPr>
          <w:p w:rsidR="001F0225" w:rsidRPr="00687C99" w:rsidRDefault="0019390A" w:rsidP="007A2F94">
            <w:pPr>
              <w:jc w:val="right"/>
              <w:rPr>
                <w:rFonts w:cs="Arial"/>
                <w:bCs/>
                <w:color w:val="000000"/>
                <w:lang w:eastAsia="en-GB"/>
              </w:rPr>
            </w:pPr>
            <w:r w:rsidRPr="00687C99">
              <w:rPr>
                <w:rFonts w:cs="Arial"/>
                <w:bCs/>
                <w:color w:val="000000"/>
                <w:lang w:eastAsia="en-GB"/>
              </w:rPr>
              <w:t>6,</w:t>
            </w:r>
            <w:r w:rsidR="007A2F94" w:rsidRPr="00687C99">
              <w:rPr>
                <w:rFonts w:cs="Arial"/>
                <w:bCs/>
                <w:color w:val="000000"/>
                <w:lang w:eastAsia="en-GB"/>
              </w:rPr>
              <w:t>1</w:t>
            </w:r>
            <w:r w:rsidRPr="00687C99">
              <w:rPr>
                <w:rFonts w:cs="Arial"/>
                <w:bCs/>
                <w:color w:val="000000"/>
                <w:lang w:eastAsia="en-GB"/>
              </w:rPr>
              <w:t>61</w:t>
            </w:r>
          </w:p>
        </w:tc>
        <w:tc>
          <w:tcPr>
            <w:tcW w:w="1348" w:type="dxa"/>
            <w:tcBorders>
              <w:top w:val="nil"/>
              <w:left w:val="nil"/>
              <w:bottom w:val="single" w:sz="4" w:space="0" w:color="auto"/>
              <w:right w:val="single" w:sz="4" w:space="0" w:color="auto"/>
            </w:tcBorders>
            <w:shd w:val="clear" w:color="auto" w:fill="auto"/>
            <w:noWrap/>
            <w:vAlign w:val="bottom"/>
          </w:tcPr>
          <w:p w:rsidR="001F0225" w:rsidRPr="00687C99" w:rsidRDefault="0019390A" w:rsidP="000F0941">
            <w:pPr>
              <w:jc w:val="right"/>
              <w:rPr>
                <w:rFonts w:cs="Arial"/>
                <w:bCs/>
                <w:color w:val="000000"/>
                <w:lang w:eastAsia="en-GB"/>
              </w:rPr>
            </w:pPr>
            <w:r w:rsidRPr="00687C99">
              <w:rPr>
                <w:rFonts w:cs="Arial"/>
                <w:bCs/>
                <w:color w:val="000000"/>
                <w:lang w:eastAsia="en-GB"/>
              </w:rPr>
              <w:t>6,243</w:t>
            </w:r>
          </w:p>
        </w:tc>
        <w:tc>
          <w:tcPr>
            <w:tcW w:w="1348" w:type="dxa"/>
            <w:tcBorders>
              <w:top w:val="nil"/>
              <w:left w:val="nil"/>
              <w:bottom w:val="single" w:sz="4" w:space="0" w:color="auto"/>
              <w:right w:val="single" w:sz="4" w:space="0" w:color="auto"/>
            </w:tcBorders>
            <w:shd w:val="clear" w:color="auto" w:fill="auto"/>
            <w:noWrap/>
            <w:vAlign w:val="bottom"/>
          </w:tcPr>
          <w:p w:rsidR="001F0225" w:rsidRPr="00687C99" w:rsidRDefault="0019390A" w:rsidP="000F0941">
            <w:pPr>
              <w:jc w:val="right"/>
              <w:rPr>
                <w:rFonts w:cs="Arial"/>
                <w:bCs/>
                <w:color w:val="000000"/>
                <w:lang w:eastAsia="en-GB"/>
              </w:rPr>
            </w:pPr>
            <w:r w:rsidRPr="00687C99">
              <w:rPr>
                <w:rFonts w:cs="Arial"/>
                <w:bCs/>
                <w:color w:val="000000"/>
                <w:lang w:eastAsia="en-GB"/>
              </w:rPr>
              <w:t>6,327</w:t>
            </w:r>
          </w:p>
        </w:tc>
      </w:tr>
      <w:tr w:rsidR="001F0225" w:rsidRPr="00687C99" w:rsidTr="00AA3A6B">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1F0225" w:rsidRPr="00687C99" w:rsidRDefault="001F0225" w:rsidP="000F0941">
            <w:pPr>
              <w:rPr>
                <w:rFonts w:cs="Arial"/>
                <w:bCs/>
                <w:color w:val="000000"/>
                <w:lang w:eastAsia="en-GB"/>
              </w:rPr>
            </w:pPr>
            <w:r w:rsidRPr="00687C99">
              <w:rPr>
                <w:rFonts w:cs="Arial"/>
                <w:bCs/>
                <w:color w:val="000000"/>
                <w:lang w:eastAsia="en-GB"/>
              </w:rPr>
              <w:t>Capital Receipts</w:t>
            </w:r>
          </w:p>
        </w:tc>
        <w:tc>
          <w:tcPr>
            <w:tcW w:w="1215" w:type="dxa"/>
            <w:tcBorders>
              <w:top w:val="nil"/>
              <w:left w:val="nil"/>
              <w:bottom w:val="single" w:sz="4" w:space="0" w:color="auto"/>
              <w:right w:val="single" w:sz="4" w:space="0" w:color="auto"/>
            </w:tcBorders>
            <w:shd w:val="clear" w:color="auto" w:fill="auto"/>
            <w:noWrap/>
            <w:vAlign w:val="bottom"/>
          </w:tcPr>
          <w:p w:rsidR="001F0225" w:rsidRPr="00687C99" w:rsidRDefault="0019390A" w:rsidP="00095112">
            <w:pPr>
              <w:jc w:val="right"/>
              <w:rPr>
                <w:rFonts w:cs="Arial"/>
                <w:bCs/>
                <w:color w:val="000000"/>
                <w:lang w:eastAsia="en-GB"/>
              </w:rPr>
            </w:pPr>
            <w:r w:rsidRPr="00687C99">
              <w:rPr>
                <w:rFonts w:cs="Arial"/>
                <w:bCs/>
                <w:color w:val="000000"/>
                <w:lang w:eastAsia="en-GB"/>
              </w:rPr>
              <w:t>1,734</w:t>
            </w:r>
          </w:p>
        </w:tc>
        <w:tc>
          <w:tcPr>
            <w:tcW w:w="1215" w:type="dxa"/>
            <w:tcBorders>
              <w:top w:val="nil"/>
              <w:left w:val="nil"/>
              <w:bottom w:val="single" w:sz="4" w:space="0" w:color="auto"/>
              <w:right w:val="single" w:sz="4" w:space="0" w:color="auto"/>
            </w:tcBorders>
            <w:shd w:val="clear" w:color="auto" w:fill="auto"/>
            <w:noWrap/>
            <w:vAlign w:val="bottom"/>
          </w:tcPr>
          <w:p w:rsidR="001F0225" w:rsidRPr="00687C99" w:rsidRDefault="0019390A" w:rsidP="00AA3A6B">
            <w:pPr>
              <w:jc w:val="right"/>
              <w:rPr>
                <w:rFonts w:cs="Arial"/>
                <w:bCs/>
                <w:color w:val="000000"/>
                <w:lang w:eastAsia="en-GB"/>
              </w:rPr>
            </w:pPr>
            <w:r w:rsidRPr="00687C99">
              <w:rPr>
                <w:rFonts w:cs="Arial"/>
                <w:bCs/>
                <w:color w:val="000000"/>
                <w:lang w:eastAsia="en-GB"/>
              </w:rPr>
              <w:t>2,049</w:t>
            </w:r>
          </w:p>
        </w:tc>
        <w:tc>
          <w:tcPr>
            <w:tcW w:w="1348" w:type="dxa"/>
            <w:tcBorders>
              <w:top w:val="nil"/>
              <w:left w:val="nil"/>
              <w:bottom w:val="single" w:sz="4" w:space="0" w:color="auto"/>
              <w:right w:val="single" w:sz="4" w:space="0" w:color="auto"/>
            </w:tcBorders>
            <w:shd w:val="clear" w:color="auto" w:fill="auto"/>
            <w:noWrap/>
            <w:vAlign w:val="bottom"/>
          </w:tcPr>
          <w:p w:rsidR="001F0225" w:rsidRPr="00687C99" w:rsidRDefault="0019390A" w:rsidP="00AA3A6B">
            <w:pPr>
              <w:jc w:val="right"/>
              <w:rPr>
                <w:rFonts w:cs="Arial"/>
                <w:bCs/>
                <w:color w:val="000000"/>
                <w:lang w:eastAsia="en-GB"/>
              </w:rPr>
            </w:pPr>
            <w:r w:rsidRPr="00687C99">
              <w:rPr>
                <w:rFonts w:cs="Arial"/>
                <w:bCs/>
                <w:color w:val="000000"/>
                <w:lang w:eastAsia="en-GB"/>
              </w:rPr>
              <w:t>2,397</w:t>
            </w:r>
          </w:p>
        </w:tc>
        <w:tc>
          <w:tcPr>
            <w:tcW w:w="1348" w:type="dxa"/>
            <w:tcBorders>
              <w:top w:val="nil"/>
              <w:left w:val="nil"/>
              <w:bottom w:val="single" w:sz="4" w:space="0" w:color="auto"/>
              <w:right w:val="single" w:sz="4" w:space="0" w:color="auto"/>
            </w:tcBorders>
            <w:shd w:val="clear" w:color="auto" w:fill="auto"/>
            <w:noWrap/>
            <w:vAlign w:val="bottom"/>
          </w:tcPr>
          <w:p w:rsidR="001F0225" w:rsidRPr="00687C99" w:rsidRDefault="0019390A" w:rsidP="00AA3A6B">
            <w:pPr>
              <w:jc w:val="right"/>
              <w:rPr>
                <w:rFonts w:cs="Arial"/>
                <w:bCs/>
                <w:color w:val="000000"/>
                <w:lang w:eastAsia="en-GB"/>
              </w:rPr>
            </w:pPr>
            <w:r w:rsidRPr="00687C99">
              <w:rPr>
                <w:rFonts w:cs="Arial"/>
                <w:bCs/>
                <w:color w:val="000000"/>
                <w:lang w:eastAsia="en-GB"/>
              </w:rPr>
              <w:t>2,684</w:t>
            </w:r>
          </w:p>
        </w:tc>
      </w:tr>
      <w:tr w:rsidR="001F0225" w:rsidRPr="00687C99" w:rsidTr="00AA3A6B">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1F0225" w:rsidRPr="00687C99" w:rsidRDefault="001F0225" w:rsidP="000F0941">
            <w:pPr>
              <w:rPr>
                <w:rFonts w:cs="Arial"/>
                <w:bCs/>
                <w:color w:val="000000"/>
                <w:lang w:eastAsia="en-GB"/>
              </w:rPr>
            </w:pPr>
            <w:r w:rsidRPr="00687C99">
              <w:rPr>
                <w:rFonts w:cs="Arial"/>
                <w:bCs/>
                <w:color w:val="000000"/>
                <w:lang w:eastAsia="en-GB"/>
              </w:rPr>
              <w:t>Revenue Funding</w:t>
            </w:r>
          </w:p>
        </w:tc>
        <w:tc>
          <w:tcPr>
            <w:tcW w:w="1215" w:type="dxa"/>
            <w:tcBorders>
              <w:top w:val="nil"/>
              <w:left w:val="nil"/>
              <w:bottom w:val="single" w:sz="4" w:space="0" w:color="auto"/>
              <w:right w:val="single" w:sz="4" w:space="0" w:color="auto"/>
            </w:tcBorders>
            <w:shd w:val="clear" w:color="auto" w:fill="auto"/>
            <w:noWrap/>
            <w:vAlign w:val="bottom"/>
          </w:tcPr>
          <w:p w:rsidR="001F0225" w:rsidRPr="00687C99" w:rsidRDefault="001D1776" w:rsidP="000F0941">
            <w:pPr>
              <w:jc w:val="right"/>
              <w:rPr>
                <w:rFonts w:cs="Arial"/>
                <w:bCs/>
                <w:color w:val="000000"/>
                <w:lang w:eastAsia="en-GB"/>
              </w:rPr>
            </w:pPr>
            <w:r w:rsidRPr="00687C99">
              <w:rPr>
                <w:rFonts w:cs="Arial"/>
                <w:bCs/>
                <w:color w:val="000000"/>
                <w:lang w:eastAsia="en-GB"/>
              </w:rPr>
              <w:t>-</w:t>
            </w:r>
          </w:p>
        </w:tc>
        <w:tc>
          <w:tcPr>
            <w:tcW w:w="1215" w:type="dxa"/>
            <w:tcBorders>
              <w:top w:val="nil"/>
              <w:left w:val="nil"/>
              <w:bottom w:val="single" w:sz="4" w:space="0" w:color="auto"/>
              <w:right w:val="single" w:sz="4" w:space="0" w:color="auto"/>
            </w:tcBorders>
            <w:shd w:val="clear" w:color="auto" w:fill="auto"/>
            <w:noWrap/>
            <w:vAlign w:val="bottom"/>
          </w:tcPr>
          <w:p w:rsidR="001F0225" w:rsidRPr="00687C99" w:rsidRDefault="0019390A" w:rsidP="000F0941">
            <w:pPr>
              <w:jc w:val="right"/>
              <w:rPr>
                <w:rFonts w:cs="Arial"/>
                <w:bCs/>
                <w:color w:val="000000"/>
                <w:lang w:eastAsia="en-GB"/>
              </w:rPr>
            </w:pPr>
            <w:r w:rsidRPr="00687C99">
              <w:rPr>
                <w:rFonts w:cs="Arial"/>
                <w:bCs/>
                <w:color w:val="000000"/>
                <w:lang w:eastAsia="en-GB"/>
              </w:rPr>
              <w:t>9,648</w:t>
            </w:r>
          </w:p>
        </w:tc>
        <w:tc>
          <w:tcPr>
            <w:tcW w:w="1348" w:type="dxa"/>
            <w:tcBorders>
              <w:top w:val="nil"/>
              <w:left w:val="nil"/>
              <w:bottom w:val="single" w:sz="4" w:space="0" w:color="auto"/>
              <w:right w:val="single" w:sz="4" w:space="0" w:color="auto"/>
            </w:tcBorders>
            <w:shd w:val="clear" w:color="auto" w:fill="auto"/>
            <w:noWrap/>
            <w:vAlign w:val="bottom"/>
          </w:tcPr>
          <w:p w:rsidR="001F0225" w:rsidRPr="00687C99" w:rsidRDefault="0019390A" w:rsidP="000F0941">
            <w:pPr>
              <w:jc w:val="right"/>
              <w:rPr>
                <w:rFonts w:cs="Arial"/>
                <w:bCs/>
                <w:color w:val="000000"/>
                <w:lang w:eastAsia="en-GB"/>
              </w:rPr>
            </w:pPr>
            <w:r w:rsidRPr="00687C99">
              <w:rPr>
                <w:rFonts w:cs="Arial"/>
                <w:bCs/>
                <w:color w:val="000000"/>
                <w:lang w:eastAsia="en-GB"/>
              </w:rPr>
              <w:t>9,306</w:t>
            </w:r>
          </w:p>
        </w:tc>
        <w:tc>
          <w:tcPr>
            <w:tcW w:w="1348" w:type="dxa"/>
            <w:tcBorders>
              <w:top w:val="nil"/>
              <w:left w:val="nil"/>
              <w:bottom w:val="single" w:sz="4" w:space="0" w:color="auto"/>
              <w:right w:val="single" w:sz="4" w:space="0" w:color="auto"/>
            </w:tcBorders>
            <w:shd w:val="clear" w:color="auto" w:fill="auto"/>
            <w:noWrap/>
            <w:vAlign w:val="bottom"/>
          </w:tcPr>
          <w:p w:rsidR="001F0225" w:rsidRPr="00687C99" w:rsidRDefault="0019390A" w:rsidP="000F0941">
            <w:pPr>
              <w:jc w:val="right"/>
              <w:rPr>
                <w:rFonts w:cs="Arial"/>
                <w:bCs/>
                <w:color w:val="000000"/>
                <w:lang w:eastAsia="en-GB"/>
              </w:rPr>
            </w:pPr>
            <w:r w:rsidRPr="00687C99">
              <w:rPr>
                <w:rFonts w:cs="Arial"/>
                <w:bCs/>
                <w:color w:val="000000"/>
                <w:lang w:eastAsia="en-GB"/>
              </w:rPr>
              <w:t>8,047</w:t>
            </w:r>
          </w:p>
        </w:tc>
      </w:tr>
      <w:tr w:rsidR="001F0225" w:rsidRPr="00687C99" w:rsidTr="00AA3A6B">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1F0225" w:rsidRPr="00687C99" w:rsidRDefault="001F0225" w:rsidP="000F0941">
            <w:pPr>
              <w:rPr>
                <w:rFonts w:cs="Arial"/>
                <w:b/>
                <w:bCs/>
                <w:color w:val="000000"/>
                <w:lang w:eastAsia="en-GB"/>
              </w:rPr>
            </w:pPr>
            <w:r w:rsidRPr="00687C99">
              <w:rPr>
                <w:rFonts w:cs="Arial"/>
                <w:b/>
                <w:bCs/>
                <w:color w:val="000000"/>
                <w:lang w:eastAsia="en-GB"/>
              </w:rPr>
              <w:t>TOTAL HRA</w:t>
            </w:r>
          </w:p>
        </w:tc>
        <w:tc>
          <w:tcPr>
            <w:tcW w:w="1215" w:type="dxa"/>
            <w:tcBorders>
              <w:top w:val="nil"/>
              <w:left w:val="nil"/>
              <w:bottom w:val="single" w:sz="4" w:space="0" w:color="auto"/>
              <w:right w:val="single" w:sz="4" w:space="0" w:color="auto"/>
            </w:tcBorders>
            <w:shd w:val="clear" w:color="auto" w:fill="auto"/>
            <w:noWrap/>
            <w:vAlign w:val="bottom"/>
          </w:tcPr>
          <w:p w:rsidR="001F0225" w:rsidRPr="00687C99" w:rsidRDefault="00362245" w:rsidP="007A2F94">
            <w:pPr>
              <w:jc w:val="right"/>
              <w:rPr>
                <w:rFonts w:cs="Arial"/>
                <w:b/>
                <w:bCs/>
                <w:color w:val="000000"/>
                <w:lang w:eastAsia="en-GB"/>
              </w:rPr>
            </w:pPr>
            <w:r w:rsidRPr="00687C99">
              <w:rPr>
                <w:rFonts w:cs="Arial"/>
                <w:b/>
                <w:bCs/>
                <w:color w:val="000000"/>
                <w:lang w:eastAsia="en-GB"/>
              </w:rPr>
              <w:t>2</w:t>
            </w:r>
            <w:r w:rsidR="007A2F94" w:rsidRPr="00687C99">
              <w:rPr>
                <w:rFonts w:cs="Arial"/>
                <w:b/>
                <w:bCs/>
                <w:color w:val="000000"/>
                <w:lang w:eastAsia="en-GB"/>
              </w:rPr>
              <w:t>1</w:t>
            </w:r>
            <w:r w:rsidRPr="00687C99">
              <w:rPr>
                <w:rFonts w:cs="Arial"/>
                <w:b/>
                <w:bCs/>
                <w:color w:val="000000"/>
                <w:lang w:eastAsia="en-GB"/>
              </w:rPr>
              <w:t>,</w:t>
            </w:r>
            <w:r w:rsidR="007A2F94" w:rsidRPr="00687C99">
              <w:rPr>
                <w:rFonts w:cs="Arial"/>
                <w:b/>
                <w:bCs/>
                <w:color w:val="000000"/>
                <w:lang w:eastAsia="en-GB"/>
              </w:rPr>
              <w:t>22</w:t>
            </w:r>
            <w:r w:rsidRPr="00687C99">
              <w:rPr>
                <w:rFonts w:cs="Arial"/>
                <w:b/>
                <w:bCs/>
                <w:color w:val="000000"/>
                <w:lang w:eastAsia="en-GB"/>
              </w:rPr>
              <w:t>5</w:t>
            </w:r>
          </w:p>
        </w:tc>
        <w:tc>
          <w:tcPr>
            <w:tcW w:w="1215" w:type="dxa"/>
            <w:tcBorders>
              <w:top w:val="nil"/>
              <w:left w:val="nil"/>
              <w:bottom w:val="single" w:sz="4" w:space="0" w:color="auto"/>
              <w:right w:val="single" w:sz="4" w:space="0" w:color="auto"/>
            </w:tcBorders>
            <w:shd w:val="clear" w:color="auto" w:fill="auto"/>
            <w:noWrap/>
            <w:vAlign w:val="bottom"/>
          </w:tcPr>
          <w:p w:rsidR="001F0225" w:rsidRPr="00687C99" w:rsidRDefault="001F0225" w:rsidP="007A2F94">
            <w:pPr>
              <w:jc w:val="right"/>
              <w:rPr>
                <w:rFonts w:cs="Arial"/>
                <w:b/>
                <w:bCs/>
                <w:color w:val="000000"/>
                <w:lang w:eastAsia="en-GB"/>
              </w:rPr>
            </w:pPr>
            <w:r w:rsidRPr="00687C99">
              <w:rPr>
                <w:rFonts w:cs="Arial"/>
                <w:b/>
                <w:bCs/>
                <w:color w:val="000000"/>
                <w:lang w:eastAsia="en-GB"/>
              </w:rPr>
              <w:t>1</w:t>
            </w:r>
            <w:r w:rsidR="007A2F94" w:rsidRPr="00687C99">
              <w:rPr>
                <w:rFonts w:cs="Arial"/>
                <w:b/>
                <w:bCs/>
                <w:color w:val="000000"/>
                <w:lang w:eastAsia="en-GB"/>
              </w:rPr>
              <w:t>7</w:t>
            </w:r>
            <w:r w:rsidRPr="00687C99">
              <w:rPr>
                <w:rFonts w:cs="Arial"/>
                <w:b/>
                <w:bCs/>
                <w:color w:val="000000"/>
                <w:lang w:eastAsia="en-GB"/>
              </w:rPr>
              <w:t>,</w:t>
            </w:r>
            <w:r w:rsidR="007A2F94" w:rsidRPr="00687C99">
              <w:rPr>
                <w:rFonts w:cs="Arial"/>
                <w:b/>
                <w:bCs/>
                <w:color w:val="000000"/>
                <w:lang w:eastAsia="en-GB"/>
              </w:rPr>
              <w:t>8</w:t>
            </w:r>
            <w:r w:rsidRPr="00687C99">
              <w:rPr>
                <w:rFonts w:cs="Arial"/>
                <w:b/>
                <w:bCs/>
                <w:color w:val="000000"/>
                <w:lang w:eastAsia="en-GB"/>
              </w:rPr>
              <w:t>58</w:t>
            </w:r>
          </w:p>
        </w:tc>
        <w:tc>
          <w:tcPr>
            <w:tcW w:w="1348" w:type="dxa"/>
            <w:tcBorders>
              <w:top w:val="nil"/>
              <w:left w:val="nil"/>
              <w:bottom w:val="single" w:sz="4" w:space="0" w:color="auto"/>
              <w:right w:val="single" w:sz="4" w:space="0" w:color="auto"/>
            </w:tcBorders>
            <w:shd w:val="clear" w:color="auto" w:fill="auto"/>
            <w:noWrap/>
            <w:vAlign w:val="bottom"/>
          </w:tcPr>
          <w:p w:rsidR="001F0225" w:rsidRPr="00687C99" w:rsidRDefault="001F0225" w:rsidP="005A5B60">
            <w:pPr>
              <w:jc w:val="right"/>
              <w:rPr>
                <w:rFonts w:cs="Arial"/>
                <w:b/>
                <w:bCs/>
                <w:color w:val="000000"/>
                <w:lang w:eastAsia="en-GB"/>
              </w:rPr>
            </w:pPr>
            <w:r w:rsidRPr="00687C99">
              <w:rPr>
                <w:rFonts w:cs="Arial"/>
                <w:b/>
                <w:bCs/>
                <w:color w:val="000000"/>
                <w:lang w:eastAsia="en-GB"/>
              </w:rPr>
              <w:t>17,946</w:t>
            </w:r>
          </w:p>
        </w:tc>
        <w:tc>
          <w:tcPr>
            <w:tcW w:w="1348" w:type="dxa"/>
            <w:tcBorders>
              <w:top w:val="nil"/>
              <w:left w:val="nil"/>
              <w:bottom w:val="single" w:sz="4" w:space="0" w:color="auto"/>
              <w:right w:val="single" w:sz="4" w:space="0" w:color="auto"/>
            </w:tcBorders>
            <w:shd w:val="clear" w:color="auto" w:fill="auto"/>
            <w:noWrap/>
            <w:vAlign w:val="bottom"/>
          </w:tcPr>
          <w:p w:rsidR="001F0225" w:rsidRPr="00687C99" w:rsidRDefault="001F0225" w:rsidP="005A5B60">
            <w:pPr>
              <w:jc w:val="right"/>
              <w:rPr>
                <w:rFonts w:cs="Arial"/>
                <w:b/>
                <w:bCs/>
                <w:color w:val="000000"/>
                <w:lang w:eastAsia="en-GB"/>
              </w:rPr>
            </w:pPr>
            <w:r w:rsidRPr="00687C99">
              <w:rPr>
                <w:rFonts w:cs="Arial"/>
                <w:b/>
                <w:bCs/>
                <w:color w:val="000000"/>
                <w:lang w:eastAsia="en-GB"/>
              </w:rPr>
              <w:t>17,058</w:t>
            </w:r>
          </w:p>
        </w:tc>
      </w:tr>
      <w:tr w:rsidR="001F0225" w:rsidRPr="00687C99" w:rsidTr="00AA3A6B">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1F0225" w:rsidRPr="00687C99" w:rsidRDefault="001F0225" w:rsidP="000F0941">
            <w:pPr>
              <w:rPr>
                <w:rFonts w:cs="Arial"/>
                <w:b/>
                <w:bCs/>
                <w:color w:val="000000"/>
                <w:lang w:eastAsia="en-GB"/>
              </w:rPr>
            </w:pPr>
          </w:p>
        </w:tc>
        <w:tc>
          <w:tcPr>
            <w:tcW w:w="1215" w:type="dxa"/>
            <w:tcBorders>
              <w:top w:val="nil"/>
              <w:left w:val="nil"/>
              <w:bottom w:val="single" w:sz="4" w:space="0" w:color="auto"/>
              <w:right w:val="single" w:sz="4" w:space="0" w:color="auto"/>
            </w:tcBorders>
            <w:shd w:val="clear" w:color="auto" w:fill="auto"/>
            <w:noWrap/>
            <w:vAlign w:val="bottom"/>
          </w:tcPr>
          <w:p w:rsidR="001F0225" w:rsidRPr="00687C99" w:rsidRDefault="001F0225" w:rsidP="000F0941">
            <w:pPr>
              <w:jc w:val="right"/>
              <w:rPr>
                <w:rFonts w:cs="Arial"/>
                <w:bCs/>
                <w:color w:val="000000"/>
                <w:lang w:eastAsia="en-GB"/>
              </w:rPr>
            </w:pPr>
          </w:p>
        </w:tc>
        <w:tc>
          <w:tcPr>
            <w:tcW w:w="1215" w:type="dxa"/>
            <w:tcBorders>
              <w:top w:val="nil"/>
              <w:left w:val="nil"/>
              <w:bottom w:val="single" w:sz="4" w:space="0" w:color="auto"/>
              <w:right w:val="single" w:sz="4" w:space="0" w:color="auto"/>
            </w:tcBorders>
            <w:shd w:val="clear" w:color="auto" w:fill="auto"/>
            <w:noWrap/>
            <w:vAlign w:val="bottom"/>
          </w:tcPr>
          <w:p w:rsidR="001F0225" w:rsidRPr="00687C99" w:rsidRDefault="001F0225" w:rsidP="000F0941">
            <w:pPr>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1F0225" w:rsidRPr="00687C99" w:rsidRDefault="001F0225" w:rsidP="000F0941">
            <w:pPr>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1F0225" w:rsidRPr="00687C99" w:rsidRDefault="001F0225" w:rsidP="000F0941">
            <w:pPr>
              <w:jc w:val="right"/>
              <w:rPr>
                <w:rFonts w:cs="Arial"/>
                <w:bCs/>
                <w:color w:val="000000"/>
                <w:lang w:eastAsia="en-GB"/>
              </w:rPr>
            </w:pPr>
          </w:p>
        </w:tc>
      </w:tr>
      <w:tr w:rsidR="001F0225" w:rsidRPr="00687C99" w:rsidTr="000F0941">
        <w:trPr>
          <w:trHeight w:val="300"/>
        </w:trPr>
        <w:tc>
          <w:tcPr>
            <w:tcW w:w="3358" w:type="dxa"/>
            <w:tcBorders>
              <w:top w:val="nil"/>
              <w:left w:val="single" w:sz="4" w:space="0" w:color="auto"/>
              <w:bottom w:val="single" w:sz="4" w:space="0" w:color="auto"/>
              <w:right w:val="single" w:sz="4" w:space="0" w:color="auto"/>
            </w:tcBorders>
            <w:shd w:val="clear" w:color="auto" w:fill="BFBFBF"/>
            <w:vAlign w:val="bottom"/>
          </w:tcPr>
          <w:p w:rsidR="001F0225" w:rsidRPr="00687C99" w:rsidRDefault="001F0225" w:rsidP="000F0941">
            <w:pPr>
              <w:rPr>
                <w:rFonts w:cs="Arial"/>
                <w:b/>
                <w:bCs/>
                <w:color w:val="000000"/>
                <w:lang w:eastAsia="en-GB"/>
              </w:rPr>
            </w:pPr>
            <w:r w:rsidRPr="00687C99">
              <w:rPr>
                <w:rFonts w:cs="Arial"/>
                <w:b/>
                <w:bCs/>
                <w:color w:val="000000"/>
                <w:lang w:eastAsia="en-GB"/>
              </w:rPr>
              <w:t>TOTAL FUNDING</w:t>
            </w:r>
          </w:p>
        </w:tc>
        <w:tc>
          <w:tcPr>
            <w:tcW w:w="1215" w:type="dxa"/>
            <w:tcBorders>
              <w:top w:val="nil"/>
              <w:left w:val="nil"/>
              <w:bottom w:val="single" w:sz="4" w:space="0" w:color="auto"/>
              <w:right w:val="single" w:sz="4" w:space="0" w:color="auto"/>
            </w:tcBorders>
            <w:shd w:val="clear" w:color="auto" w:fill="auto"/>
            <w:noWrap/>
            <w:vAlign w:val="bottom"/>
          </w:tcPr>
          <w:p w:rsidR="001F0225" w:rsidRPr="00687C99" w:rsidRDefault="001F0225" w:rsidP="007A2F94">
            <w:pPr>
              <w:jc w:val="right"/>
              <w:rPr>
                <w:rFonts w:cs="Arial"/>
                <w:b/>
                <w:bCs/>
                <w:color w:val="000000"/>
                <w:lang w:eastAsia="en-GB"/>
              </w:rPr>
            </w:pPr>
            <w:r w:rsidRPr="00687C99">
              <w:rPr>
                <w:rFonts w:cs="Arial"/>
                <w:b/>
                <w:bCs/>
                <w:color w:val="000000"/>
                <w:lang w:eastAsia="en-GB"/>
              </w:rPr>
              <w:t>6</w:t>
            </w:r>
            <w:r w:rsidR="007A2F94" w:rsidRPr="00687C99">
              <w:rPr>
                <w:rFonts w:cs="Arial"/>
                <w:b/>
                <w:bCs/>
                <w:color w:val="000000"/>
                <w:lang w:eastAsia="en-GB"/>
              </w:rPr>
              <w:t>2</w:t>
            </w:r>
            <w:r w:rsidRPr="00687C99">
              <w:rPr>
                <w:rFonts w:cs="Arial"/>
                <w:b/>
                <w:bCs/>
                <w:color w:val="000000"/>
                <w:lang w:eastAsia="en-GB"/>
              </w:rPr>
              <w:t>,</w:t>
            </w:r>
            <w:r w:rsidR="007A2F94" w:rsidRPr="00687C99">
              <w:rPr>
                <w:rFonts w:cs="Arial"/>
                <w:b/>
                <w:bCs/>
                <w:color w:val="000000"/>
                <w:lang w:eastAsia="en-GB"/>
              </w:rPr>
              <w:t>164</w:t>
            </w:r>
          </w:p>
        </w:tc>
        <w:tc>
          <w:tcPr>
            <w:tcW w:w="1215" w:type="dxa"/>
            <w:tcBorders>
              <w:top w:val="nil"/>
              <w:left w:val="nil"/>
              <w:bottom w:val="single" w:sz="4" w:space="0" w:color="auto"/>
              <w:right w:val="single" w:sz="4" w:space="0" w:color="auto"/>
            </w:tcBorders>
            <w:shd w:val="clear" w:color="auto" w:fill="auto"/>
            <w:noWrap/>
            <w:vAlign w:val="bottom"/>
          </w:tcPr>
          <w:p w:rsidR="001F0225" w:rsidRPr="00687C99" w:rsidRDefault="001F0225" w:rsidP="000055D7">
            <w:pPr>
              <w:jc w:val="right"/>
              <w:rPr>
                <w:rFonts w:cs="Arial"/>
                <w:b/>
                <w:bCs/>
                <w:color w:val="000000"/>
                <w:lang w:eastAsia="en-GB"/>
              </w:rPr>
            </w:pPr>
            <w:r w:rsidRPr="00687C99">
              <w:rPr>
                <w:rFonts w:cs="Arial"/>
                <w:b/>
                <w:bCs/>
                <w:color w:val="000000"/>
                <w:lang w:eastAsia="en-GB"/>
              </w:rPr>
              <w:t>6</w:t>
            </w:r>
            <w:r w:rsidR="000055D7" w:rsidRPr="00687C99">
              <w:rPr>
                <w:rFonts w:cs="Arial"/>
                <w:b/>
                <w:bCs/>
                <w:color w:val="000000"/>
                <w:lang w:eastAsia="en-GB"/>
              </w:rPr>
              <w:t>8</w:t>
            </w:r>
            <w:r w:rsidRPr="00687C99">
              <w:rPr>
                <w:rFonts w:cs="Arial"/>
                <w:b/>
                <w:bCs/>
                <w:color w:val="000000"/>
                <w:lang w:eastAsia="en-GB"/>
              </w:rPr>
              <w:t>,</w:t>
            </w:r>
            <w:r w:rsidR="000055D7" w:rsidRPr="00687C99">
              <w:rPr>
                <w:rFonts w:cs="Arial"/>
                <w:b/>
                <w:bCs/>
                <w:color w:val="000000"/>
                <w:lang w:eastAsia="en-GB"/>
              </w:rPr>
              <w:t>3</w:t>
            </w:r>
            <w:r w:rsidR="00022161" w:rsidRPr="00687C99">
              <w:rPr>
                <w:rFonts w:cs="Arial"/>
                <w:b/>
                <w:bCs/>
                <w:color w:val="000000"/>
                <w:lang w:eastAsia="en-GB"/>
              </w:rPr>
              <w:t>6</w:t>
            </w:r>
            <w:r w:rsidR="000055D7" w:rsidRPr="00687C99">
              <w:rPr>
                <w:rFonts w:cs="Arial"/>
                <w:b/>
                <w:bCs/>
                <w:color w:val="000000"/>
                <w:lang w:eastAsia="en-GB"/>
              </w:rPr>
              <w:t>3</w:t>
            </w:r>
          </w:p>
        </w:tc>
        <w:tc>
          <w:tcPr>
            <w:tcW w:w="1348" w:type="dxa"/>
            <w:tcBorders>
              <w:top w:val="nil"/>
              <w:left w:val="nil"/>
              <w:bottom w:val="single" w:sz="4" w:space="0" w:color="auto"/>
              <w:right w:val="single" w:sz="4" w:space="0" w:color="auto"/>
            </w:tcBorders>
            <w:shd w:val="clear" w:color="auto" w:fill="auto"/>
            <w:noWrap/>
            <w:vAlign w:val="bottom"/>
          </w:tcPr>
          <w:p w:rsidR="001F0225" w:rsidRPr="00687C99" w:rsidRDefault="001F0225" w:rsidP="000055D7">
            <w:pPr>
              <w:jc w:val="right"/>
              <w:rPr>
                <w:rFonts w:cs="Arial"/>
                <w:b/>
                <w:bCs/>
                <w:color w:val="000000"/>
                <w:lang w:eastAsia="en-GB"/>
              </w:rPr>
            </w:pPr>
            <w:r w:rsidRPr="00687C99">
              <w:rPr>
                <w:rFonts w:cs="Arial"/>
                <w:b/>
                <w:bCs/>
                <w:color w:val="000000"/>
                <w:lang w:eastAsia="en-GB"/>
              </w:rPr>
              <w:t>4</w:t>
            </w:r>
            <w:r w:rsidR="000055D7" w:rsidRPr="00687C99">
              <w:rPr>
                <w:rFonts w:cs="Arial"/>
                <w:b/>
                <w:bCs/>
                <w:color w:val="000000"/>
                <w:lang w:eastAsia="en-GB"/>
              </w:rPr>
              <w:t>3</w:t>
            </w:r>
            <w:r w:rsidRPr="00687C99">
              <w:rPr>
                <w:rFonts w:cs="Arial"/>
                <w:b/>
                <w:bCs/>
                <w:color w:val="000000"/>
                <w:lang w:eastAsia="en-GB"/>
              </w:rPr>
              <w:t>,</w:t>
            </w:r>
            <w:r w:rsidR="000055D7" w:rsidRPr="00687C99">
              <w:rPr>
                <w:rFonts w:cs="Arial"/>
                <w:b/>
                <w:bCs/>
                <w:color w:val="000000"/>
                <w:lang w:eastAsia="en-GB"/>
              </w:rPr>
              <w:t>534</w:t>
            </w:r>
          </w:p>
        </w:tc>
        <w:tc>
          <w:tcPr>
            <w:tcW w:w="1348" w:type="dxa"/>
            <w:tcBorders>
              <w:top w:val="nil"/>
              <w:left w:val="nil"/>
              <w:bottom w:val="single" w:sz="4" w:space="0" w:color="auto"/>
              <w:right w:val="single" w:sz="4" w:space="0" w:color="auto"/>
            </w:tcBorders>
            <w:shd w:val="clear" w:color="auto" w:fill="auto"/>
            <w:noWrap/>
            <w:vAlign w:val="bottom"/>
          </w:tcPr>
          <w:p w:rsidR="001F0225" w:rsidRPr="00687C99" w:rsidRDefault="001F0225" w:rsidP="000055D7">
            <w:pPr>
              <w:jc w:val="right"/>
              <w:rPr>
                <w:rFonts w:cs="Arial"/>
                <w:b/>
                <w:bCs/>
                <w:color w:val="000000"/>
                <w:lang w:eastAsia="en-GB"/>
              </w:rPr>
            </w:pPr>
            <w:r w:rsidRPr="00687C99">
              <w:rPr>
                <w:rFonts w:cs="Arial"/>
                <w:b/>
                <w:bCs/>
                <w:color w:val="000000"/>
                <w:lang w:eastAsia="en-GB"/>
              </w:rPr>
              <w:t>4</w:t>
            </w:r>
            <w:r w:rsidR="000055D7" w:rsidRPr="00687C99">
              <w:rPr>
                <w:rFonts w:cs="Arial"/>
                <w:b/>
                <w:bCs/>
                <w:color w:val="000000"/>
                <w:lang w:eastAsia="en-GB"/>
              </w:rPr>
              <w:t>4</w:t>
            </w:r>
            <w:r w:rsidRPr="00687C99">
              <w:rPr>
                <w:rFonts w:cs="Arial"/>
                <w:b/>
                <w:bCs/>
                <w:color w:val="000000"/>
                <w:lang w:eastAsia="en-GB"/>
              </w:rPr>
              <w:t>,</w:t>
            </w:r>
            <w:r w:rsidR="000055D7" w:rsidRPr="00687C99">
              <w:rPr>
                <w:rFonts w:cs="Arial"/>
                <w:b/>
                <w:bCs/>
                <w:color w:val="000000"/>
                <w:lang w:eastAsia="en-GB"/>
              </w:rPr>
              <w:t>879</w:t>
            </w:r>
          </w:p>
        </w:tc>
      </w:tr>
    </w:tbl>
    <w:p w:rsidR="00052AE4" w:rsidRDefault="00052AE4" w:rsidP="00B74D07">
      <w:pPr>
        <w:ind w:right="386"/>
        <w:jc w:val="both"/>
        <w:rPr>
          <w:bCs/>
        </w:rPr>
      </w:pPr>
    </w:p>
    <w:p w:rsidR="00582CF1" w:rsidRPr="00052AE4" w:rsidRDefault="00582CF1" w:rsidP="00030F4B">
      <w:pPr>
        <w:pStyle w:val="ListParagraph"/>
      </w:pPr>
      <w:r w:rsidRPr="00052AE4">
        <w:t>The main risks to the Capital Prog</w:t>
      </w:r>
      <w:r w:rsidR="00052AE4">
        <w:t>ramme are set out in Appendix 8</w:t>
      </w:r>
      <w:r w:rsidRPr="00052AE4">
        <w:t xml:space="preserve"> and summarised below:</w:t>
      </w:r>
    </w:p>
    <w:p w:rsidR="001D3E88" w:rsidRDefault="001D3E88" w:rsidP="0070180F">
      <w:pPr>
        <w:numPr>
          <w:ilvl w:val="0"/>
          <w:numId w:val="4"/>
        </w:numPr>
        <w:tabs>
          <w:tab w:val="clear" w:pos="2160"/>
        </w:tabs>
        <w:ind w:left="851" w:right="386" w:hanging="284"/>
      </w:pPr>
      <w:r w:rsidRPr="0009616E">
        <w:t>Disposals as detailed before are not secured causing a shortfall in funding of schemes</w:t>
      </w:r>
    </w:p>
    <w:p w:rsidR="001D3E88" w:rsidRPr="0009616E" w:rsidRDefault="001D3E88" w:rsidP="0070180F">
      <w:pPr>
        <w:numPr>
          <w:ilvl w:val="0"/>
          <w:numId w:val="4"/>
        </w:numPr>
        <w:tabs>
          <w:tab w:val="clear" w:pos="2160"/>
        </w:tabs>
        <w:ind w:left="851" w:right="386" w:hanging="284"/>
      </w:pPr>
      <w:r>
        <w:t xml:space="preserve">Estimate for payment to Government in respect of </w:t>
      </w:r>
      <w:r w:rsidR="004C5ED5">
        <w:t>high value Council homes</w:t>
      </w:r>
      <w:r>
        <w:t xml:space="preserve"> is insufficient</w:t>
      </w:r>
    </w:p>
    <w:p w:rsidR="001D3E88" w:rsidRPr="0009616E" w:rsidRDefault="001D3E88" w:rsidP="0070180F">
      <w:pPr>
        <w:numPr>
          <w:ilvl w:val="0"/>
          <w:numId w:val="4"/>
        </w:numPr>
        <w:tabs>
          <w:tab w:val="clear" w:pos="2160"/>
        </w:tabs>
        <w:ind w:left="851" w:right="386" w:hanging="284"/>
      </w:pPr>
      <w:r w:rsidRPr="0009616E">
        <w:t>Slippage in Capital Programme and impact on delivery of priorities</w:t>
      </w:r>
    </w:p>
    <w:p w:rsidR="001A54CF" w:rsidRPr="00093DE6" w:rsidRDefault="001D3E88" w:rsidP="0070180F">
      <w:pPr>
        <w:numPr>
          <w:ilvl w:val="0"/>
          <w:numId w:val="4"/>
        </w:numPr>
        <w:tabs>
          <w:tab w:val="clear" w:pos="2160"/>
        </w:tabs>
        <w:ind w:left="851" w:right="386" w:hanging="284"/>
        <w:rPr>
          <w:b/>
        </w:rPr>
      </w:pPr>
      <w:r w:rsidRPr="0009616E">
        <w:t>Robustness of estimates</w:t>
      </w:r>
    </w:p>
    <w:p w:rsidR="001D3E88" w:rsidRDefault="001D3E88" w:rsidP="00657B05">
      <w:pPr>
        <w:ind w:right="386"/>
        <w:jc w:val="both"/>
        <w:rPr>
          <w:b/>
        </w:rPr>
      </w:pPr>
    </w:p>
    <w:p w:rsidR="006702CA" w:rsidRPr="00603607" w:rsidRDefault="006702CA" w:rsidP="00030F4B">
      <w:pPr>
        <w:pStyle w:val="Heading1"/>
      </w:pPr>
      <w:r w:rsidRPr="00603607">
        <w:t>Housing Company</w:t>
      </w:r>
    </w:p>
    <w:p w:rsidR="006702CA" w:rsidRDefault="006702CA" w:rsidP="006702CA">
      <w:pPr>
        <w:pStyle w:val="Default"/>
        <w:ind w:right="386"/>
        <w:jc w:val="both"/>
      </w:pPr>
    </w:p>
    <w:p w:rsidR="006702CA" w:rsidRDefault="006702CA" w:rsidP="00030F4B">
      <w:pPr>
        <w:pStyle w:val="ListParagraph"/>
      </w:pPr>
      <w:r w:rsidRPr="00315719">
        <w:t xml:space="preserve">In March 2016 the Council approved the establishment of a Local Authority housing company and the company was incorporated in June 2016. </w:t>
      </w:r>
    </w:p>
    <w:p w:rsidR="006702CA" w:rsidRDefault="006702CA" w:rsidP="00030F4B">
      <w:pPr>
        <w:pStyle w:val="ListParagraph"/>
        <w:numPr>
          <w:ilvl w:val="0"/>
          <w:numId w:val="0"/>
        </w:numPr>
        <w:ind w:left="360"/>
      </w:pPr>
    </w:p>
    <w:p w:rsidR="006702CA" w:rsidRDefault="006702CA" w:rsidP="00030F4B">
      <w:pPr>
        <w:pStyle w:val="ListParagraph"/>
      </w:pPr>
      <w:r>
        <w:t xml:space="preserve">The Council will lend money to the Housing Company at state aid compliant rates of interest using its prudential borrowing powers with the company repaying the </w:t>
      </w:r>
      <w:r w:rsidR="00046F8E">
        <w:t>Council</w:t>
      </w:r>
      <w:r>
        <w:t xml:space="preserve"> either based on an annuity or overdraft method. The Council gave approval at its meeting in </w:t>
      </w:r>
      <w:r w:rsidR="00955EE5">
        <w:t xml:space="preserve">April </w:t>
      </w:r>
      <w:r w:rsidRPr="00CB2E55">
        <w:t xml:space="preserve">2016 </w:t>
      </w:r>
      <w:r>
        <w:t xml:space="preserve">for loans to be made to the Housing Company for the acquisition of houses at Barton Park in 2017-18 (£12.250 million) together with working capital (£250k). The Companies Business Plan will be presented to a shareholders meeting in </w:t>
      </w:r>
      <w:r w:rsidR="00381807">
        <w:t>due course</w:t>
      </w:r>
      <w:r w:rsidR="00955EE5">
        <w:t xml:space="preserve"> </w:t>
      </w:r>
      <w:r>
        <w:t xml:space="preserve">for </w:t>
      </w:r>
      <w:r w:rsidR="00F76C85">
        <w:t xml:space="preserve">consideration prior to </w:t>
      </w:r>
      <w:r>
        <w:t xml:space="preserve">formal approval of the </w:t>
      </w:r>
      <w:r w:rsidR="00F76C85">
        <w:t xml:space="preserve">further loans </w:t>
      </w:r>
      <w:r>
        <w:t>which are anticipated to be required</w:t>
      </w:r>
    </w:p>
    <w:p w:rsidR="006702CA" w:rsidRPr="006A42B3" w:rsidRDefault="006702CA" w:rsidP="006702CA">
      <w:pPr>
        <w:pStyle w:val="Default"/>
        <w:ind w:left="567" w:right="386"/>
        <w:jc w:val="both"/>
        <w:rPr>
          <w:b/>
        </w:rPr>
      </w:pPr>
    </w:p>
    <w:p w:rsidR="006702CA" w:rsidRDefault="006702CA" w:rsidP="00030F4B">
      <w:pPr>
        <w:pStyle w:val="ListParagraph"/>
      </w:pPr>
      <w:r w:rsidRPr="00C73BD1">
        <w:t xml:space="preserve">Over the next </w:t>
      </w:r>
      <w:r>
        <w:t>4</w:t>
      </w:r>
      <w:r w:rsidRPr="00C73BD1">
        <w:t xml:space="preserve"> years loans from the Council are in the region of £</w:t>
      </w:r>
      <w:r>
        <w:t>6</w:t>
      </w:r>
      <w:r w:rsidR="00505CAF">
        <w:t>1</w:t>
      </w:r>
      <w:r w:rsidRPr="00C73BD1">
        <w:t>million</w:t>
      </w:r>
      <w:r w:rsidR="00E13351">
        <w:t xml:space="preserve"> (£12.250 million having already been agreed),</w:t>
      </w:r>
      <w:r w:rsidRPr="00C73BD1">
        <w:t xml:space="preserve"> </w:t>
      </w:r>
      <w:r>
        <w:t xml:space="preserve">facilitating the </w:t>
      </w:r>
      <w:r w:rsidRPr="00C73BD1">
        <w:t>constructi</w:t>
      </w:r>
      <w:r>
        <w:t>o</w:t>
      </w:r>
      <w:r w:rsidRPr="00C73BD1">
        <w:t>n and acqu</w:t>
      </w:r>
      <w:r>
        <w:t>is</w:t>
      </w:r>
      <w:r w:rsidRPr="00C73BD1">
        <w:t>i</w:t>
      </w:r>
      <w:r>
        <w:t>tion</w:t>
      </w:r>
      <w:r w:rsidRPr="00C73BD1">
        <w:t xml:space="preserve"> </w:t>
      </w:r>
      <w:r>
        <w:t xml:space="preserve">of </w:t>
      </w:r>
      <w:r w:rsidRPr="00C73BD1">
        <w:t>approximately 5</w:t>
      </w:r>
      <w:r w:rsidR="00277FD6">
        <w:t>36</w:t>
      </w:r>
      <w:r w:rsidRPr="00C73BD1">
        <w:t xml:space="preserve"> new dwellings</w:t>
      </w:r>
      <w:r>
        <w:t xml:space="preserve">. In addition to capital receipts, loan repayments will be made by the company back to the Council. </w:t>
      </w:r>
    </w:p>
    <w:p w:rsidR="006702CA" w:rsidRDefault="006702CA" w:rsidP="006702CA">
      <w:pPr>
        <w:pStyle w:val="Default"/>
        <w:ind w:left="567" w:right="386" w:hanging="567"/>
        <w:jc w:val="both"/>
      </w:pPr>
    </w:p>
    <w:p w:rsidR="006702CA" w:rsidRDefault="006702CA" w:rsidP="00030F4B">
      <w:pPr>
        <w:pStyle w:val="Heading1"/>
      </w:pPr>
      <w:r w:rsidRPr="003F790E">
        <w:t>O</w:t>
      </w:r>
      <w:r>
        <w:t xml:space="preserve">xford </w:t>
      </w:r>
      <w:r w:rsidRPr="003F790E">
        <w:t>W</w:t>
      </w:r>
      <w:r>
        <w:t xml:space="preserve">est </w:t>
      </w:r>
      <w:r w:rsidRPr="003F790E">
        <w:t>E</w:t>
      </w:r>
      <w:r>
        <w:t xml:space="preserve">nd </w:t>
      </w:r>
      <w:r w:rsidRPr="003F790E">
        <w:t>D</w:t>
      </w:r>
      <w:r>
        <w:t>evelopment (OXWED)</w:t>
      </w:r>
    </w:p>
    <w:p w:rsidR="006702CA" w:rsidRPr="003F790E" w:rsidRDefault="006702CA" w:rsidP="00030F4B">
      <w:pPr>
        <w:pStyle w:val="ListParagraph"/>
      </w:pPr>
      <w:r>
        <w:t>The Council has a 50/50 partnership with Nuffield College to undertake the development of the land at Oxpens. The Council has already approved loans totaling £4.1 million as its 50% share of the cost of purchasing additional land in December 2017. In addition, loans have also been approved to fund working capital of £100k</w:t>
      </w:r>
      <w:r w:rsidR="00F6139F">
        <w:t xml:space="preserve">. However, </w:t>
      </w:r>
      <w:r>
        <w:t>the Company</w:t>
      </w:r>
      <w:r w:rsidR="005B34BC">
        <w:t>’s</w:t>
      </w:r>
      <w:r>
        <w:t xml:space="preserve"> </w:t>
      </w:r>
      <w:r w:rsidR="005B34BC">
        <w:t xml:space="preserve">projected </w:t>
      </w:r>
      <w:r>
        <w:t xml:space="preserve">cash flow </w:t>
      </w:r>
      <w:r w:rsidR="005B34BC">
        <w:t>requires</w:t>
      </w:r>
      <w:r>
        <w:t xml:space="preserve"> </w:t>
      </w:r>
      <w:r w:rsidRPr="00EA5D28">
        <w:t>a further advance of up to £</w:t>
      </w:r>
      <w:r w:rsidR="007F3F2E">
        <w:t>75</w:t>
      </w:r>
      <w:r w:rsidRPr="00EA5D28">
        <w:t xml:space="preserve">k </w:t>
      </w:r>
      <w:r w:rsidR="005B34BC">
        <w:t xml:space="preserve">to take </w:t>
      </w:r>
      <w:r>
        <w:t xml:space="preserve">it up to March 2018. Nuffield College will be matching this amount. </w:t>
      </w:r>
    </w:p>
    <w:p w:rsidR="006702CA" w:rsidRDefault="006702CA" w:rsidP="006702CA">
      <w:pPr>
        <w:ind w:left="2160" w:right="386" w:hanging="1593"/>
        <w:jc w:val="both"/>
        <w:rPr>
          <w:b/>
        </w:rPr>
      </w:pPr>
    </w:p>
    <w:p w:rsidR="006702CA" w:rsidRDefault="006702CA" w:rsidP="00030F4B">
      <w:pPr>
        <w:pStyle w:val="Heading1"/>
      </w:pPr>
      <w:r>
        <w:t>Oxford Direct Services</w:t>
      </w:r>
    </w:p>
    <w:p w:rsidR="006702CA" w:rsidRPr="006702CA" w:rsidRDefault="006702CA" w:rsidP="00030F4B">
      <w:pPr>
        <w:pStyle w:val="ListParagraph"/>
      </w:pPr>
      <w:r>
        <w:t xml:space="preserve">At </w:t>
      </w:r>
      <w:r w:rsidR="003D02C0">
        <w:t xml:space="preserve">the </w:t>
      </w:r>
      <w:r>
        <w:t xml:space="preserve">City Executive Board in March 2017 members will </w:t>
      </w:r>
      <w:r w:rsidR="003D02C0">
        <w:t xml:space="preserve">be asked to </w:t>
      </w:r>
      <w:r>
        <w:t xml:space="preserve">consider a business case for the establishment of wholly owned company for the operation of services currently undertaken within Direct Services. Detailed </w:t>
      </w:r>
      <w:r w:rsidR="00C605E0">
        <w:t xml:space="preserve">work is currently underway to determine the </w:t>
      </w:r>
      <w:r>
        <w:t xml:space="preserve">financial implications for </w:t>
      </w:r>
      <w:r w:rsidR="00C605E0">
        <w:t xml:space="preserve">both </w:t>
      </w:r>
      <w:r>
        <w:t>the City Council and the Company</w:t>
      </w:r>
      <w:r w:rsidR="00670B13">
        <w:t xml:space="preserve"> and will be reported to members in due course.</w:t>
      </w:r>
    </w:p>
    <w:p w:rsidR="006702CA" w:rsidRPr="00052AE4" w:rsidRDefault="006702CA" w:rsidP="005B34BC">
      <w:pPr>
        <w:ind w:left="567" w:right="386" w:hanging="425"/>
        <w:jc w:val="both"/>
        <w:rPr>
          <w:b/>
        </w:rPr>
      </w:pPr>
    </w:p>
    <w:p w:rsidR="002B3BBA" w:rsidRPr="00052AE4" w:rsidRDefault="00506E70" w:rsidP="00030F4B">
      <w:pPr>
        <w:pStyle w:val="Heading1"/>
      </w:pPr>
      <w:r w:rsidRPr="00052AE4">
        <w:t>Financial Implications</w:t>
      </w:r>
    </w:p>
    <w:p w:rsidR="00506E70" w:rsidRPr="00052AE4" w:rsidRDefault="00052AE4" w:rsidP="00030F4B">
      <w:pPr>
        <w:pStyle w:val="ListParagraph"/>
      </w:pPr>
      <w:r>
        <w:t>T</w:t>
      </w:r>
      <w:r w:rsidR="00506E70" w:rsidRPr="00052AE4">
        <w:t>hese are covered within the main body of the report</w:t>
      </w:r>
    </w:p>
    <w:p w:rsidR="00506E70" w:rsidRPr="00052AE4" w:rsidRDefault="00506E70" w:rsidP="005B34BC">
      <w:pPr>
        <w:ind w:left="567" w:right="386" w:hanging="425"/>
        <w:jc w:val="both"/>
      </w:pPr>
    </w:p>
    <w:p w:rsidR="00506E70" w:rsidRPr="00052AE4" w:rsidRDefault="00506E70" w:rsidP="00030F4B">
      <w:pPr>
        <w:pStyle w:val="Heading1"/>
      </w:pPr>
      <w:r w:rsidRPr="00052AE4">
        <w:lastRenderedPageBreak/>
        <w:t>Legal Implications</w:t>
      </w:r>
    </w:p>
    <w:p w:rsidR="00506E70" w:rsidRPr="00052AE4" w:rsidRDefault="00D90872" w:rsidP="00030F4B">
      <w:pPr>
        <w:pStyle w:val="ListParagraph"/>
      </w:pPr>
      <w:r w:rsidRPr="00052AE4">
        <w:t>The Council is required to set a balanced budget</w:t>
      </w:r>
      <w:r w:rsidR="009A7A86" w:rsidRPr="00052AE4">
        <w:t xml:space="preserve"> </w:t>
      </w:r>
      <w:r w:rsidR="00377435" w:rsidRPr="00052AE4">
        <w:t xml:space="preserve">and agree </w:t>
      </w:r>
      <w:r w:rsidR="009A7A86" w:rsidRPr="00052AE4">
        <w:t xml:space="preserve">the </w:t>
      </w:r>
      <w:r w:rsidR="00377435" w:rsidRPr="00052AE4">
        <w:t>C</w:t>
      </w:r>
      <w:r w:rsidR="009A7A86" w:rsidRPr="00052AE4">
        <w:t xml:space="preserve">ouncil </w:t>
      </w:r>
      <w:r w:rsidR="00377435" w:rsidRPr="00052AE4">
        <w:t>T</w:t>
      </w:r>
      <w:r w:rsidR="009A7A86" w:rsidRPr="00052AE4">
        <w:t xml:space="preserve">ax and </w:t>
      </w:r>
      <w:r w:rsidR="00670B13">
        <w:t xml:space="preserve">housing </w:t>
      </w:r>
      <w:r w:rsidR="009A7A86" w:rsidRPr="00052AE4">
        <w:t>rent</w:t>
      </w:r>
      <w:r w:rsidR="00670B13">
        <w:t xml:space="preserve">s </w:t>
      </w:r>
      <w:r w:rsidR="009A7A86" w:rsidRPr="00052AE4">
        <w:t>before the beginning of the financial year</w:t>
      </w:r>
      <w:r w:rsidR="00377435" w:rsidRPr="00052AE4">
        <w:t>.</w:t>
      </w:r>
    </w:p>
    <w:p w:rsidR="00506E70" w:rsidRPr="00052AE4" w:rsidRDefault="00506E70" w:rsidP="005B34BC">
      <w:pPr>
        <w:ind w:left="567" w:right="386" w:hanging="425"/>
        <w:jc w:val="both"/>
      </w:pPr>
    </w:p>
    <w:p w:rsidR="00506E70" w:rsidRPr="00052AE4" w:rsidRDefault="00184310" w:rsidP="00030F4B">
      <w:pPr>
        <w:pStyle w:val="Heading1"/>
      </w:pPr>
      <w:r w:rsidRPr="00052AE4">
        <w:t>Ris</w:t>
      </w:r>
      <w:r w:rsidR="00506E70" w:rsidRPr="00052AE4">
        <w:t>k Implications</w:t>
      </w:r>
    </w:p>
    <w:p w:rsidR="00B17F3A" w:rsidRPr="00052AE4" w:rsidRDefault="00B17F3A" w:rsidP="00030F4B">
      <w:pPr>
        <w:pStyle w:val="ListParagraph"/>
      </w:pPr>
      <w:r w:rsidRPr="00052AE4">
        <w:t xml:space="preserve">These are shown in Appendix </w:t>
      </w:r>
      <w:r w:rsidR="00052AE4">
        <w:t>8</w:t>
      </w:r>
      <w:r w:rsidRPr="00052AE4">
        <w:t xml:space="preserve"> of the report</w:t>
      </w:r>
      <w:r w:rsidR="00FC3C3C" w:rsidRPr="00052AE4">
        <w:t xml:space="preserve"> and highlighted within the body of the report</w:t>
      </w:r>
    </w:p>
    <w:p w:rsidR="002B3BBA" w:rsidRPr="00052AE4" w:rsidRDefault="002B3BBA" w:rsidP="005B34BC">
      <w:pPr>
        <w:ind w:left="567" w:right="386" w:hanging="425"/>
        <w:jc w:val="both"/>
      </w:pPr>
    </w:p>
    <w:p w:rsidR="004113FA" w:rsidRPr="00052AE4" w:rsidRDefault="00DA3B0F" w:rsidP="00030F4B">
      <w:pPr>
        <w:pStyle w:val="Heading1"/>
      </w:pPr>
      <w:r w:rsidRPr="00052AE4">
        <w:t>Equalities Impact Assessment</w:t>
      </w:r>
    </w:p>
    <w:p w:rsidR="00687C99" w:rsidRDefault="00DA3B0F" w:rsidP="00030F4B">
      <w:pPr>
        <w:pStyle w:val="ListParagraph"/>
      </w:pPr>
      <w:r w:rsidRPr="00052AE4">
        <w:t>A copy of the E</w:t>
      </w:r>
      <w:r w:rsidR="00582CF1" w:rsidRPr="00052AE4">
        <w:t xml:space="preserve">qualities </w:t>
      </w:r>
      <w:r w:rsidRPr="00052AE4">
        <w:t>I</w:t>
      </w:r>
      <w:r w:rsidR="00582CF1" w:rsidRPr="00052AE4">
        <w:t xml:space="preserve">mpact </w:t>
      </w:r>
      <w:r w:rsidRPr="00052AE4">
        <w:t>A</w:t>
      </w:r>
      <w:r w:rsidR="00582CF1" w:rsidRPr="00052AE4">
        <w:t>ssessment</w:t>
      </w:r>
      <w:r w:rsidRPr="00052AE4">
        <w:t xml:space="preserve"> is given in Appendix </w:t>
      </w:r>
      <w:r w:rsidR="00052AE4">
        <w:t>9</w:t>
      </w:r>
      <w:r w:rsidRPr="00052AE4">
        <w:t xml:space="preserve"> attached to this report</w:t>
      </w:r>
      <w:r w:rsidR="00030F4B">
        <w:t>.</w:t>
      </w:r>
    </w:p>
    <w:p w:rsidR="00687C99" w:rsidRDefault="00687C99" w:rsidP="000055D7">
      <w:pPr>
        <w:ind w:left="567" w:right="386" w:hanging="567"/>
        <w:jc w:val="both"/>
      </w:pPr>
    </w:p>
    <w:p w:rsidR="00687C99" w:rsidRPr="00052AE4" w:rsidRDefault="00687C99" w:rsidP="000055D7">
      <w:pPr>
        <w:ind w:left="567" w:right="386" w:hanging="567"/>
        <w:jc w:val="both"/>
        <w:rPr>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rsidRPr="00687C99">
        <w:tc>
          <w:tcPr>
            <w:tcW w:w="8522" w:type="dxa"/>
          </w:tcPr>
          <w:p w:rsidR="00713675" w:rsidRPr="00687C99" w:rsidRDefault="00713675" w:rsidP="007C20F4">
            <w:pPr>
              <w:tabs>
                <w:tab w:val="left" w:pos="720"/>
                <w:tab w:val="left" w:pos="1440"/>
                <w:tab w:val="left" w:pos="2160"/>
                <w:tab w:val="left" w:pos="2880"/>
              </w:tabs>
              <w:ind w:right="386" w:firstLine="540"/>
            </w:pPr>
            <w:r w:rsidRPr="00687C99">
              <w:rPr>
                <w:b/>
                <w:bCs/>
              </w:rPr>
              <w:t>Name and contact details of author:-</w:t>
            </w:r>
          </w:p>
        </w:tc>
      </w:tr>
      <w:tr w:rsidR="00713675" w:rsidRPr="00687C99" w:rsidTr="008E4681">
        <w:trPr>
          <w:trHeight w:val="666"/>
        </w:trPr>
        <w:tc>
          <w:tcPr>
            <w:tcW w:w="8522" w:type="dxa"/>
          </w:tcPr>
          <w:p w:rsidR="00713675" w:rsidRPr="00687C99" w:rsidRDefault="00713675" w:rsidP="007C20F4">
            <w:pPr>
              <w:tabs>
                <w:tab w:val="left" w:pos="720"/>
                <w:tab w:val="left" w:pos="1440"/>
                <w:tab w:val="left" w:pos="2160"/>
                <w:tab w:val="left" w:pos="2880"/>
              </w:tabs>
              <w:ind w:right="386" w:firstLine="540"/>
            </w:pPr>
          </w:p>
          <w:p w:rsidR="00713675" w:rsidRPr="00687C99" w:rsidRDefault="00713675" w:rsidP="007C20F4">
            <w:pPr>
              <w:tabs>
                <w:tab w:val="left" w:pos="720"/>
                <w:tab w:val="left" w:pos="1440"/>
                <w:tab w:val="left" w:pos="2160"/>
                <w:tab w:val="left" w:pos="2880"/>
              </w:tabs>
              <w:ind w:right="386" w:firstLine="540"/>
            </w:pPr>
            <w:r w:rsidRPr="00687C99">
              <w:t>Name</w:t>
            </w:r>
            <w:r w:rsidR="007A7044" w:rsidRPr="00687C99">
              <w:t xml:space="preserve">    :    Nigel Kennedy</w:t>
            </w:r>
          </w:p>
        </w:tc>
      </w:tr>
      <w:tr w:rsidR="00713675" w:rsidRPr="00687C99">
        <w:tc>
          <w:tcPr>
            <w:tcW w:w="8522" w:type="dxa"/>
          </w:tcPr>
          <w:p w:rsidR="00713675" w:rsidRPr="00687C99" w:rsidRDefault="00713675" w:rsidP="007C20F4">
            <w:pPr>
              <w:tabs>
                <w:tab w:val="left" w:pos="720"/>
                <w:tab w:val="left" w:pos="1440"/>
                <w:tab w:val="left" w:pos="2160"/>
                <w:tab w:val="left" w:pos="2880"/>
              </w:tabs>
              <w:ind w:right="386" w:firstLine="540"/>
            </w:pPr>
            <w:r w:rsidRPr="00687C99">
              <w:t>Job title</w:t>
            </w:r>
            <w:r w:rsidR="007A7044" w:rsidRPr="00687C99">
              <w:t xml:space="preserve">   :  Head of Financ</w:t>
            </w:r>
            <w:r w:rsidR="008E4681" w:rsidRPr="00687C99">
              <w:t>ial Services</w:t>
            </w:r>
          </w:p>
        </w:tc>
      </w:tr>
      <w:tr w:rsidR="00713675" w:rsidRPr="00687C99">
        <w:tc>
          <w:tcPr>
            <w:tcW w:w="8522" w:type="dxa"/>
          </w:tcPr>
          <w:p w:rsidR="00713675" w:rsidRPr="00687C99" w:rsidRDefault="00713675" w:rsidP="007C20F4">
            <w:pPr>
              <w:tabs>
                <w:tab w:val="left" w:pos="720"/>
                <w:tab w:val="left" w:pos="1440"/>
                <w:tab w:val="left" w:pos="2160"/>
                <w:tab w:val="left" w:pos="2880"/>
              </w:tabs>
              <w:ind w:right="386" w:firstLine="540"/>
            </w:pPr>
            <w:r w:rsidRPr="00687C99">
              <w:t>Service Area / Department</w:t>
            </w:r>
            <w:r w:rsidR="007A7044" w:rsidRPr="00687C99">
              <w:t xml:space="preserve">   : Finance</w:t>
            </w:r>
          </w:p>
        </w:tc>
      </w:tr>
      <w:tr w:rsidR="00713675" w:rsidRPr="00687C99">
        <w:tc>
          <w:tcPr>
            <w:tcW w:w="8522" w:type="dxa"/>
          </w:tcPr>
          <w:p w:rsidR="00713675" w:rsidRPr="00687C99" w:rsidRDefault="00713675" w:rsidP="007C20F4">
            <w:pPr>
              <w:tabs>
                <w:tab w:val="left" w:pos="720"/>
                <w:tab w:val="left" w:pos="1440"/>
                <w:tab w:val="left" w:pos="2160"/>
                <w:tab w:val="left" w:pos="2880"/>
              </w:tabs>
              <w:ind w:right="386" w:firstLine="540"/>
              <w:rPr>
                <w:color w:val="0000FF"/>
                <w:u w:val="single"/>
              </w:rPr>
            </w:pPr>
            <w:r w:rsidRPr="00687C99">
              <w:t xml:space="preserve">Tel:  01865 </w:t>
            </w:r>
            <w:r w:rsidR="007A7044" w:rsidRPr="00687C99">
              <w:t>252708</w:t>
            </w:r>
            <w:r w:rsidRPr="00687C99">
              <w:t xml:space="preserve">  e-mail:</w:t>
            </w:r>
            <w:r w:rsidR="007A7044" w:rsidRPr="00687C99">
              <w:t xml:space="preserve">   nkennedy@oxford.gov.uk</w:t>
            </w:r>
            <w:r w:rsidRPr="00687C99">
              <w:t xml:space="preserve">  </w:t>
            </w:r>
          </w:p>
        </w:tc>
      </w:tr>
    </w:tbl>
    <w:p w:rsidR="00687C99" w:rsidRPr="00687C99" w:rsidRDefault="00687C99" w:rsidP="007C20F4">
      <w:pPr>
        <w:ind w:right="386" w:firstLine="540"/>
        <w:rPr>
          <w:rFonts w:cs="Arial"/>
          <w:b/>
          <w:bCs/>
        </w:rPr>
      </w:pPr>
    </w:p>
    <w:p w:rsidR="00F4367A" w:rsidRPr="00687C99" w:rsidRDefault="00F4367A" w:rsidP="007C20F4">
      <w:pPr>
        <w:ind w:right="386" w:firstLine="540"/>
        <w:rPr>
          <w:rFonts w:cs="Arial"/>
          <w:b/>
          <w:bCs/>
        </w:rPr>
      </w:pPr>
      <w:r w:rsidRPr="00687C99">
        <w:rPr>
          <w:rFonts w:cs="Arial"/>
          <w:b/>
          <w:bCs/>
        </w:rPr>
        <w:t xml:space="preserve">List of background papers: </w:t>
      </w:r>
      <w:r w:rsidR="00C026AB" w:rsidRPr="00687C99">
        <w:rPr>
          <w:rFonts w:cs="Arial"/>
          <w:b/>
          <w:bCs/>
        </w:rPr>
        <w:t>None</w:t>
      </w:r>
    </w:p>
    <w:p w:rsidR="00F4367A" w:rsidRPr="00FC3A80" w:rsidRDefault="00F4367A" w:rsidP="00C026AB">
      <w:pPr>
        <w:ind w:right="386"/>
        <w:rPr>
          <w:b/>
          <w:bCs/>
          <w:sz w:val="22"/>
          <w:szCs w:val="22"/>
        </w:rPr>
      </w:pPr>
    </w:p>
    <w:sectPr w:rsidR="00F4367A" w:rsidRPr="00FC3A80" w:rsidSect="00BF08ED">
      <w:footerReference w:type="default" r:id="rId11"/>
      <w:pgSz w:w="11906" w:h="16838"/>
      <w:pgMar w:top="1440" w:right="720" w:bottom="1440" w:left="1440" w:header="708" w:footer="632"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AC6262" w15:done="0"/>
  <w15:commentEx w15:paraId="02A76DAA" w15:done="0"/>
  <w15:commentEx w15:paraId="580E1BAA" w15:done="0"/>
  <w15:commentEx w15:paraId="6F3E664D" w15:done="0"/>
  <w15:commentEx w15:paraId="0D076CC3" w15:done="0"/>
  <w15:commentEx w15:paraId="2831AD62" w15:done="0"/>
  <w15:commentEx w15:paraId="5A23C4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C99" w:rsidRDefault="00687C99">
      <w:r>
        <w:separator/>
      </w:r>
    </w:p>
  </w:endnote>
  <w:endnote w:type="continuationSeparator" w:id="0">
    <w:p w:rsidR="00687C99" w:rsidRDefault="0068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S Me">
    <w:altName w:val="FS M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99" w:rsidRPr="001D016D" w:rsidRDefault="00687C99" w:rsidP="001D016D">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C99" w:rsidRDefault="00687C99">
      <w:r>
        <w:separator/>
      </w:r>
    </w:p>
  </w:footnote>
  <w:footnote w:type="continuationSeparator" w:id="0">
    <w:p w:rsidR="00687C99" w:rsidRDefault="00687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03ADB7A"/>
    <w:lvl w:ilvl="0">
      <w:start w:val="1"/>
      <w:numFmt w:val="decimal"/>
      <w:pStyle w:val="ListNumber"/>
      <w:lvlText w:val="%1."/>
      <w:lvlJc w:val="left"/>
      <w:pPr>
        <w:tabs>
          <w:tab w:val="num" w:pos="360"/>
        </w:tabs>
        <w:ind w:left="360" w:hanging="360"/>
      </w:pPr>
    </w:lvl>
  </w:abstractNum>
  <w:abstractNum w:abstractNumId="1">
    <w:nsid w:val="02477E39"/>
    <w:multiLevelType w:val="hybridMultilevel"/>
    <w:tmpl w:val="464AE9F4"/>
    <w:lvl w:ilvl="0" w:tplc="F9082EC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F76A29"/>
    <w:multiLevelType w:val="multilevel"/>
    <w:tmpl w:val="0632ED4A"/>
    <w:lvl w:ilvl="0">
      <w:start w:val="1"/>
      <w:numFmt w:val="decimal"/>
      <w:pStyle w:val="Level1"/>
      <w:lvlText w:val="%1."/>
      <w:lvlJc w:val="left"/>
      <w:pPr>
        <w:tabs>
          <w:tab w:val="num" w:pos="1200"/>
        </w:tabs>
        <w:ind w:left="1200" w:hanging="1200"/>
      </w:pPr>
      <w:rPr>
        <w:rFonts w:hint="default"/>
        <w:b w:val="0"/>
        <w:i w:val="0"/>
        <w:caps w:val="0"/>
        <w:strike w:val="0"/>
        <w:dstrike w:val="0"/>
        <w:vanish w:val="0"/>
        <w:color w:val="0071BD"/>
        <w:sz w:val="3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200"/>
        </w:tabs>
        <w:ind w:left="1200" w:hanging="12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00"/>
        </w:tabs>
        <w:ind w:left="1200" w:hanging="1200"/>
      </w:pPr>
      <w:rPr>
        <w:rFonts w:hint="default"/>
        <w:b w:val="0"/>
        <w:i w:val="0"/>
        <w:caps w:val="0"/>
        <w:strike w:val="0"/>
        <w:dstrike w:val="0"/>
        <w:vanish w:val="0"/>
        <w:color w:val="323232"/>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800"/>
        </w:tabs>
        <w:ind w:left="800" w:hanging="400"/>
      </w:pPr>
      <w:rPr>
        <w:rFonts w:ascii="Symbol" w:hAnsi="Symbol" w:hint="default"/>
        <w:color w:val="auto"/>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nsid w:val="04153EF1"/>
    <w:multiLevelType w:val="hybridMultilevel"/>
    <w:tmpl w:val="9A0EA6B6"/>
    <w:lvl w:ilvl="0" w:tplc="648266C8">
      <w:start w:val="3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B42237"/>
    <w:multiLevelType w:val="hybridMultilevel"/>
    <w:tmpl w:val="C6CABB8C"/>
    <w:lvl w:ilvl="0" w:tplc="9F8E97EE">
      <w:start w:val="1"/>
      <w:numFmt w:val="decimal"/>
      <w:pStyle w:val="Styl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715C1F"/>
    <w:multiLevelType w:val="hybridMultilevel"/>
    <w:tmpl w:val="3DEE247E"/>
    <w:lvl w:ilvl="0" w:tplc="51F479C6">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9800E1"/>
    <w:multiLevelType w:val="hybridMultilevel"/>
    <w:tmpl w:val="A15247DC"/>
    <w:lvl w:ilvl="0" w:tplc="CFD6E6D8">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0A1608"/>
    <w:multiLevelType w:val="hybridMultilevel"/>
    <w:tmpl w:val="4FEC877A"/>
    <w:lvl w:ilvl="0" w:tplc="370EA32C">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420A81"/>
    <w:multiLevelType w:val="hybridMultilevel"/>
    <w:tmpl w:val="DE2865E2"/>
    <w:lvl w:ilvl="0" w:tplc="A1A810EE">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4C2D45"/>
    <w:multiLevelType w:val="hybridMultilevel"/>
    <w:tmpl w:val="A762F8E4"/>
    <w:lvl w:ilvl="0" w:tplc="9EBE6846">
      <w:start w:val="3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4705A3"/>
    <w:multiLevelType w:val="hybridMultilevel"/>
    <w:tmpl w:val="A7CA9AAA"/>
    <w:lvl w:ilvl="0" w:tplc="08090001">
      <w:start w:val="1"/>
      <w:numFmt w:val="bullet"/>
      <w:lvlText w:val=""/>
      <w:lvlJc w:val="left"/>
      <w:pPr>
        <w:tabs>
          <w:tab w:val="num" w:pos="1080"/>
        </w:tabs>
        <w:ind w:left="1080" w:hanging="360"/>
      </w:pPr>
      <w:rPr>
        <w:rFonts w:ascii="Symbol" w:hAnsi="Symbol" w:hint="default"/>
        <w:color w:val="000080"/>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1C52E90"/>
    <w:multiLevelType w:val="hybridMultilevel"/>
    <w:tmpl w:val="B33EE450"/>
    <w:lvl w:ilvl="0" w:tplc="865A9BF6">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8D2A87"/>
    <w:multiLevelType w:val="hybridMultilevel"/>
    <w:tmpl w:val="4D9E35B6"/>
    <w:lvl w:ilvl="0" w:tplc="BE96FA5C">
      <w:start w:val="3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E26877"/>
    <w:multiLevelType w:val="hybridMultilevel"/>
    <w:tmpl w:val="FA4CB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07136F"/>
    <w:multiLevelType w:val="hybridMultilevel"/>
    <w:tmpl w:val="409AB5D4"/>
    <w:lvl w:ilvl="0" w:tplc="37788596">
      <w:start w:val="7"/>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2451E8"/>
    <w:multiLevelType w:val="hybridMultilevel"/>
    <w:tmpl w:val="BA34158A"/>
    <w:lvl w:ilvl="0" w:tplc="A2EE3278">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70A4755"/>
    <w:multiLevelType w:val="hybridMultilevel"/>
    <w:tmpl w:val="C592F302"/>
    <w:lvl w:ilvl="0" w:tplc="D638CB2A">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D61A71"/>
    <w:multiLevelType w:val="hybridMultilevel"/>
    <w:tmpl w:val="FDF2E5E6"/>
    <w:lvl w:ilvl="0" w:tplc="4C58516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9D3344"/>
    <w:multiLevelType w:val="hybridMultilevel"/>
    <w:tmpl w:val="C47C76E4"/>
    <w:lvl w:ilvl="0" w:tplc="5DDAED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58B15C0"/>
    <w:multiLevelType w:val="hybridMultilevel"/>
    <w:tmpl w:val="EBC21458"/>
    <w:lvl w:ilvl="0" w:tplc="EA4C2A84">
      <w:start w:val="1"/>
      <w:numFmt w:val="decimal"/>
      <w:pStyle w:val="ListParagraph"/>
      <w:lvlText w:val="%1."/>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46765258"/>
    <w:multiLevelType w:val="hybridMultilevel"/>
    <w:tmpl w:val="A63A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013FCE"/>
    <w:multiLevelType w:val="hybridMultilevel"/>
    <w:tmpl w:val="2A207D9A"/>
    <w:lvl w:ilvl="0" w:tplc="5DF84A5C">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936450"/>
    <w:multiLevelType w:val="hybridMultilevel"/>
    <w:tmpl w:val="109C7FE6"/>
    <w:lvl w:ilvl="0" w:tplc="0CA2060A">
      <w:start w:val="1"/>
      <w:numFmt w:val="bullet"/>
      <w:pStyle w:val="Style4"/>
      <w:lvlText w:val=""/>
      <w:lvlJc w:val="left"/>
      <w:pPr>
        <w:ind w:left="1854" w:hanging="360"/>
      </w:pPr>
      <w:rPr>
        <w:rFonts w:ascii="Wingdings" w:hAnsi="Wingdings" w:hint="default"/>
        <w:color w:val="00B0F0"/>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nsid w:val="5C2D7671"/>
    <w:multiLevelType w:val="hybridMultilevel"/>
    <w:tmpl w:val="6B82B574"/>
    <w:lvl w:ilvl="0" w:tplc="B2E2172C">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625C5D"/>
    <w:multiLevelType w:val="hybridMultilevel"/>
    <w:tmpl w:val="3B58323E"/>
    <w:lvl w:ilvl="0" w:tplc="08090001">
      <w:start w:val="1"/>
      <w:numFmt w:val="bullet"/>
      <w:lvlText w:val=""/>
      <w:lvlJc w:val="left"/>
      <w:pPr>
        <w:ind w:left="1599" w:hanging="360"/>
      </w:pPr>
      <w:rPr>
        <w:rFonts w:ascii="Symbol" w:hAnsi="Symbol" w:hint="default"/>
      </w:rPr>
    </w:lvl>
    <w:lvl w:ilvl="1" w:tplc="08090003" w:tentative="1">
      <w:start w:val="1"/>
      <w:numFmt w:val="bullet"/>
      <w:lvlText w:val="o"/>
      <w:lvlJc w:val="left"/>
      <w:pPr>
        <w:ind w:left="2319" w:hanging="360"/>
      </w:pPr>
      <w:rPr>
        <w:rFonts w:ascii="Courier New" w:hAnsi="Courier New" w:cs="Courier New" w:hint="default"/>
      </w:rPr>
    </w:lvl>
    <w:lvl w:ilvl="2" w:tplc="08090005" w:tentative="1">
      <w:start w:val="1"/>
      <w:numFmt w:val="bullet"/>
      <w:lvlText w:val=""/>
      <w:lvlJc w:val="left"/>
      <w:pPr>
        <w:ind w:left="3039" w:hanging="360"/>
      </w:pPr>
      <w:rPr>
        <w:rFonts w:ascii="Wingdings" w:hAnsi="Wingdings" w:hint="default"/>
      </w:rPr>
    </w:lvl>
    <w:lvl w:ilvl="3" w:tplc="08090001" w:tentative="1">
      <w:start w:val="1"/>
      <w:numFmt w:val="bullet"/>
      <w:lvlText w:val=""/>
      <w:lvlJc w:val="left"/>
      <w:pPr>
        <w:ind w:left="3759" w:hanging="360"/>
      </w:pPr>
      <w:rPr>
        <w:rFonts w:ascii="Symbol" w:hAnsi="Symbol" w:hint="default"/>
      </w:rPr>
    </w:lvl>
    <w:lvl w:ilvl="4" w:tplc="08090003" w:tentative="1">
      <w:start w:val="1"/>
      <w:numFmt w:val="bullet"/>
      <w:lvlText w:val="o"/>
      <w:lvlJc w:val="left"/>
      <w:pPr>
        <w:ind w:left="4479" w:hanging="360"/>
      </w:pPr>
      <w:rPr>
        <w:rFonts w:ascii="Courier New" w:hAnsi="Courier New" w:cs="Courier New" w:hint="default"/>
      </w:rPr>
    </w:lvl>
    <w:lvl w:ilvl="5" w:tplc="08090005" w:tentative="1">
      <w:start w:val="1"/>
      <w:numFmt w:val="bullet"/>
      <w:lvlText w:val=""/>
      <w:lvlJc w:val="left"/>
      <w:pPr>
        <w:ind w:left="5199" w:hanging="360"/>
      </w:pPr>
      <w:rPr>
        <w:rFonts w:ascii="Wingdings" w:hAnsi="Wingdings" w:hint="default"/>
      </w:rPr>
    </w:lvl>
    <w:lvl w:ilvl="6" w:tplc="08090001" w:tentative="1">
      <w:start w:val="1"/>
      <w:numFmt w:val="bullet"/>
      <w:lvlText w:val=""/>
      <w:lvlJc w:val="left"/>
      <w:pPr>
        <w:ind w:left="5919" w:hanging="360"/>
      </w:pPr>
      <w:rPr>
        <w:rFonts w:ascii="Symbol" w:hAnsi="Symbol" w:hint="default"/>
      </w:rPr>
    </w:lvl>
    <w:lvl w:ilvl="7" w:tplc="08090003" w:tentative="1">
      <w:start w:val="1"/>
      <w:numFmt w:val="bullet"/>
      <w:lvlText w:val="o"/>
      <w:lvlJc w:val="left"/>
      <w:pPr>
        <w:ind w:left="6639" w:hanging="360"/>
      </w:pPr>
      <w:rPr>
        <w:rFonts w:ascii="Courier New" w:hAnsi="Courier New" w:cs="Courier New" w:hint="default"/>
      </w:rPr>
    </w:lvl>
    <w:lvl w:ilvl="8" w:tplc="08090005" w:tentative="1">
      <w:start w:val="1"/>
      <w:numFmt w:val="bullet"/>
      <w:lvlText w:val=""/>
      <w:lvlJc w:val="left"/>
      <w:pPr>
        <w:ind w:left="7359" w:hanging="360"/>
      </w:pPr>
      <w:rPr>
        <w:rFonts w:ascii="Wingdings" w:hAnsi="Wingdings" w:hint="default"/>
      </w:rPr>
    </w:lvl>
  </w:abstractNum>
  <w:abstractNum w:abstractNumId="25">
    <w:nsid w:val="62226B22"/>
    <w:multiLevelType w:val="hybridMultilevel"/>
    <w:tmpl w:val="CC3A4FC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6">
    <w:nsid w:val="62791728"/>
    <w:multiLevelType w:val="hybridMultilevel"/>
    <w:tmpl w:val="DD0482C0"/>
    <w:lvl w:ilvl="0" w:tplc="9CC24600">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027C10"/>
    <w:multiLevelType w:val="hybridMultilevel"/>
    <w:tmpl w:val="4CCE13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nsid w:val="6B881EEF"/>
    <w:multiLevelType w:val="hybridMultilevel"/>
    <w:tmpl w:val="73B6AD18"/>
    <w:lvl w:ilvl="0" w:tplc="9B2C63FA">
      <w:start w:val="1"/>
      <w:numFmt w:val="bullet"/>
      <w:lvlText w:val=""/>
      <w:lvlJc w:val="left"/>
      <w:pPr>
        <w:tabs>
          <w:tab w:val="num" w:pos="1800"/>
        </w:tabs>
        <w:ind w:left="1800" w:hanging="360"/>
      </w:pPr>
      <w:rPr>
        <w:rFonts w:ascii="Wingdings" w:hAnsi="Wingdings" w:hint="default"/>
        <w:color w:val="000080"/>
      </w:rPr>
    </w:lvl>
    <w:lvl w:ilvl="1" w:tplc="08090001">
      <w:start w:val="1"/>
      <w:numFmt w:val="bullet"/>
      <w:lvlText w:val=""/>
      <w:lvlJc w:val="left"/>
      <w:pPr>
        <w:tabs>
          <w:tab w:val="num" w:pos="2160"/>
        </w:tabs>
        <w:ind w:left="2160" w:hanging="360"/>
      </w:pPr>
      <w:rPr>
        <w:rFonts w:ascii="Symbol" w:hAnsi="Symbol" w:hint="default"/>
        <w:color w:val="00008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nsid w:val="6C0706F0"/>
    <w:multiLevelType w:val="hybridMultilevel"/>
    <w:tmpl w:val="F0D23A1A"/>
    <w:lvl w:ilvl="0" w:tplc="DE1803A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4F37D8"/>
    <w:multiLevelType w:val="hybridMultilevel"/>
    <w:tmpl w:val="483819DA"/>
    <w:lvl w:ilvl="0" w:tplc="69C4F4F4">
      <w:start w:val="1"/>
      <w:numFmt w:val="decimal"/>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1">
    <w:nsid w:val="6E48011F"/>
    <w:multiLevelType w:val="hybridMultilevel"/>
    <w:tmpl w:val="3F8C2E70"/>
    <w:lvl w:ilvl="0" w:tplc="2340C2A2">
      <w:start w:val="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0"/>
  </w:num>
  <w:num w:numId="3">
    <w:abstractNumId w:val="28"/>
  </w:num>
  <w:num w:numId="4">
    <w:abstractNumId w:val="25"/>
  </w:num>
  <w:num w:numId="5">
    <w:abstractNumId w:val="14"/>
  </w:num>
  <w:num w:numId="6">
    <w:abstractNumId w:val="15"/>
  </w:num>
  <w:num w:numId="7">
    <w:abstractNumId w:val="1"/>
  </w:num>
  <w:num w:numId="8">
    <w:abstractNumId w:val="27"/>
  </w:num>
  <w:num w:numId="9">
    <w:abstractNumId w:val="2"/>
  </w:num>
  <w:num w:numId="10">
    <w:abstractNumId w:val="22"/>
  </w:num>
  <w:num w:numId="11">
    <w:abstractNumId w:val="24"/>
  </w:num>
  <w:num w:numId="12">
    <w:abstractNumId w:val="17"/>
  </w:num>
  <w:num w:numId="13">
    <w:abstractNumId w:val="13"/>
  </w:num>
  <w:num w:numId="14">
    <w:abstractNumId w:val="18"/>
  </w:num>
  <w:num w:numId="15">
    <w:abstractNumId w:val="23"/>
  </w:num>
  <w:num w:numId="16">
    <w:abstractNumId w:val="29"/>
  </w:num>
  <w:num w:numId="17">
    <w:abstractNumId w:val="9"/>
  </w:num>
  <w:num w:numId="18">
    <w:abstractNumId w:val="31"/>
  </w:num>
  <w:num w:numId="19">
    <w:abstractNumId w:val="12"/>
  </w:num>
  <w:num w:numId="20">
    <w:abstractNumId w:val="21"/>
  </w:num>
  <w:num w:numId="21">
    <w:abstractNumId w:val="26"/>
  </w:num>
  <w:num w:numId="22">
    <w:abstractNumId w:val="7"/>
  </w:num>
  <w:num w:numId="23">
    <w:abstractNumId w:val="20"/>
  </w:num>
  <w:num w:numId="24">
    <w:abstractNumId w:val="16"/>
  </w:num>
  <w:num w:numId="25">
    <w:abstractNumId w:val="5"/>
  </w:num>
  <w:num w:numId="26">
    <w:abstractNumId w:val="3"/>
  </w:num>
  <w:num w:numId="27">
    <w:abstractNumId w:val="11"/>
  </w:num>
  <w:num w:numId="28">
    <w:abstractNumId w:val="8"/>
  </w:num>
  <w:num w:numId="29">
    <w:abstractNumId w:val="6"/>
  </w:num>
  <w:num w:numId="30">
    <w:abstractNumId w:val="4"/>
  </w:num>
  <w:num w:numId="31">
    <w:abstractNumId w:val="0"/>
  </w:num>
  <w:num w:numId="32">
    <w:abstractNumId w:val="19"/>
  </w:num>
  <w:numIdMacAtCleanup w:val="1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0121"/>
    <w:rsid w:val="00000801"/>
    <w:rsid w:val="000017A0"/>
    <w:rsid w:val="00001F53"/>
    <w:rsid w:val="0000244F"/>
    <w:rsid w:val="00002DE1"/>
    <w:rsid w:val="00003F37"/>
    <w:rsid w:val="00004448"/>
    <w:rsid w:val="0000468F"/>
    <w:rsid w:val="000055D7"/>
    <w:rsid w:val="00005687"/>
    <w:rsid w:val="00006CD9"/>
    <w:rsid w:val="00011409"/>
    <w:rsid w:val="0001377A"/>
    <w:rsid w:val="000148E2"/>
    <w:rsid w:val="00015264"/>
    <w:rsid w:val="00016AF4"/>
    <w:rsid w:val="0002042E"/>
    <w:rsid w:val="0002084D"/>
    <w:rsid w:val="00022161"/>
    <w:rsid w:val="0002234D"/>
    <w:rsid w:val="00023C36"/>
    <w:rsid w:val="0002616A"/>
    <w:rsid w:val="00026D0F"/>
    <w:rsid w:val="00026D54"/>
    <w:rsid w:val="00027E8E"/>
    <w:rsid w:val="00027EEA"/>
    <w:rsid w:val="00030814"/>
    <w:rsid w:val="00030F4B"/>
    <w:rsid w:val="00031F67"/>
    <w:rsid w:val="000341ED"/>
    <w:rsid w:val="00035FE8"/>
    <w:rsid w:val="00036B31"/>
    <w:rsid w:val="0003781E"/>
    <w:rsid w:val="000403CF"/>
    <w:rsid w:val="000409F1"/>
    <w:rsid w:val="00040FE0"/>
    <w:rsid w:val="00041C79"/>
    <w:rsid w:val="00041DBF"/>
    <w:rsid w:val="00042A94"/>
    <w:rsid w:val="00042E19"/>
    <w:rsid w:val="000433C7"/>
    <w:rsid w:val="00044604"/>
    <w:rsid w:val="0004668D"/>
    <w:rsid w:val="00046E29"/>
    <w:rsid w:val="00046F8E"/>
    <w:rsid w:val="000500E3"/>
    <w:rsid w:val="000515AC"/>
    <w:rsid w:val="00052AE4"/>
    <w:rsid w:val="00052F09"/>
    <w:rsid w:val="0005334B"/>
    <w:rsid w:val="000552C7"/>
    <w:rsid w:val="00056263"/>
    <w:rsid w:val="00056945"/>
    <w:rsid w:val="00061CDD"/>
    <w:rsid w:val="0006247D"/>
    <w:rsid w:val="00062BEC"/>
    <w:rsid w:val="0006315A"/>
    <w:rsid w:val="000651D3"/>
    <w:rsid w:val="00065297"/>
    <w:rsid w:val="00066AAC"/>
    <w:rsid w:val="000670D8"/>
    <w:rsid w:val="00067B8A"/>
    <w:rsid w:val="000700E7"/>
    <w:rsid w:val="000719A5"/>
    <w:rsid w:val="00071B82"/>
    <w:rsid w:val="00072918"/>
    <w:rsid w:val="00072E78"/>
    <w:rsid w:val="000731FA"/>
    <w:rsid w:val="00074897"/>
    <w:rsid w:val="00075169"/>
    <w:rsid w:val="00076048"/>
    <w:rsid w:val="00076698"/>
    <w:rsid w:val="00077AB1"/>
    <w:rsid w:val="0008046C"/>
    <w:rsid w:val="0008087E"/>
    <w:rsid w:val="00084584"/>
    <w:rsid w:val="000851F2"/>
    <w:rsid w:val="00086317"/>
    <w:rsid w:val="0008651B"/>
    <w:rsid w:val="00087185"/>
    <w:rsid w:val="00087F77"/>
    <w:rsid w:val="00090350"/>
    <w:rsid w:val="000907D2"/>
    <w:rsid w:val="000908BF"/>
    <w:rsid w:val="000909AE"/>
    <w:rsid w:val="0009116B"/>
    <w:rsid w:val="000911F3"/>
    <w:rsid w:val="00091A57"/>
    <w:rsid w:val="00091D62"/>
    <w:rsid w:val="000925F6"/>
    <w:rsid w:val="00093DE6"/>
    <w:rsid w:val="0009448D"/>
    <w:rsid w:val="00094D1E"/>
    <w:rsid w:val="00094D77"/>
    <w:rsid w:val="00095112"/>
    <w:rsid w:val="00095D72"/>
    <w:rsid w:val="00096293"/>
    <w:rsid w:val="000967E9"/>
    <w:rsid w:val="000973F8"/>
    <w:rsid w:val="0009753F"/>
    <w:rsid w:val="00097FFC"/>
    <w:rsid w:val="000A1460"/>
    <w:rsid w:val="000A18C0"/>
    <w:rsid w:val="000A2BAF"/>
    <w:rsid w:val="000A4CA2"/>
    <w:rsid w:val="000B0272"/>
    <w:rsid w:val="000B17F5"/>
    <w:rsid w:val="000B1DBE"/>
    <w:rsid w:val="000B22AA"/>
    <w:rsid w:val="000B26A3"/>
    <w:rsid w:val="000B3050"/>
    <w:rsid w:val="000B366D"/>
    <w:rsid w:val="000B3A12"/>
    <w:rsid w:val="000B44CB"/>
    <w:rsid w:val="000B790A"/>
    <w:rsid w:val="000C11C5"/>
    <w:rsid w:val="000C143A"/>
    <w:rsid w:val="000C34F2"/>
    <w:rsid w:val="000C480C"/>
    <w:rsid w:val="000C5168"/>
    <w:rsid w:val="000C56AB"/>
    <w:rsid w:val="000C5CA1"/>
    <w:rsid w:val="000C7969"/>
    <w:rsid w:val="000D139F"/>
    <w:rsid w:val="000D39E1"/>
    <w:rsid w:val="000D4065"/>
    <w:rsid w:val="000D4472"/>
    <w:rsid w:val="000D6B54"/>
    <w:rsid w:val="000D7025"/>
    <w:rsid w:val="000D75E5"/>
    <w:rsid w:val="000E1129"/>
    <w:rsid w:val="000E194D"/>
    <w:rsid w:val="000E47F3"/>
    <w:rsid w:val="000E5A24"/>
    <w:rsid w:val="000E6817"/>
    <w:rsid w:val="000F0941"/>
    <w:rsid w:val="000F2367"/>
    <w:rsid w:val="000F3187"/>
    <w:rsid w:val="000F32AB"/>
    <w:rsid w:val="000F51FB"/>
    <w:rsid w:val="000F5AB8"/>
    <w:rsid w:val="000F7BF7"/>
    <w:rsid w:val="001012FF"/>
    <w:rsid w:val="0010339A"/>
    <w:rsid w:val="0010402D"/>
    <w:rsid w:val="00105A88"/>
    <w:rsid w:val="00106D5B"/>
    <w:rsid w:val="00107DF2"/>
    <w:rsid w:val="00111A9E"/>
    <w:rsid w:val="00111ACB"/>
    <w:rsid w:val="001167B2"/>
    <w:rsid w:val="00117F1E"/>
    <w:rsid w:val="00121B5A"/>
    <w:rsid w:val="00123FCB"/>
    <w:rsid w:val="00124796"/>
    <w:rsid w:val="00124BC9"/>
    <w:rsid w:val="00125722"/>
    <w:rsid w:val="00131907"/>
    <w:rsid w:val="0013316B"/>
    <w:rsid w:val="00133F0E"/>
    <w:rsid w:val="001341E8"/>
    <w:rsid w:val="00136D03"/>
    <w:rsid w:val="00137B85"/>
    <w:rsid w:val="001416DD"/>
    <w:rsid w:val="00142103"/>
    <w:rsid w:val="001427E1"/>
    <w:rsid w:val="00143CAE"/>
    <w:rsid w:val="00144F8E"/>
    <w:rsid w:val="001450F5"/>
    <w:rsid w:val="00145219"/>
    <w:rsid w:val="00146DDD"/>
    <w:rsid w:val="00147B5A"/>
    <w:rsid w:val="00147DDB"/>
    <w:rsid w:val="00150735"/>
    <w:rsid w:val="001507C4"/>
    <w:rsid w:val="001509CB"/>
    <w:rsid w:val="00153D29"/>
    <w:rsid w:val="00153EA3"/>
    <w:rsid w:val="001543E6"/>
    <w:rsid w:val="00156624"/>
    <w:rsid w:val="001570E1"/>
    <w:rsid w:val="00157FF8"/>
    <w:rsid w:val="001626FF"/>
    <w:rsid w:val="00163249"/>
    <w:rsid w:val="00163E6D"/>
    <w:rsid w:val="001643B0"/>
    <w:rsid w:val="0016721A"/>
    <w:rsid w:val="00167287"/>
    <w:rsid w:val="00167B6A"/>
    <w:rsid w:val="0017012D"/>
    <w:rsid w:val="001701DE"/>
    <w:rsid w:val="00170E22"/>
    <w:rsid w:val="001718F2"/>
    <w:rsid w:val="00173063"/>
    <w:rsid w:val="00173676"/>
    <w:rsid w:val="00175F14"/>
    <w:rsid w:val="001771D2"/>
    <w:rsid w:val="0018195F"/>
    <w:rsid w:val="0018345C"/>
    <w:rsid w:val="00183BCD"/>
    <w:rsid w:val="00184310"/>
    <w:rsid w:val="00185A24"/>
    <w:rsid w:val="001860AC"/>
    <w:rsid w:val="001869A9"/>
    <w:rsid w:val="00187083"/>
    <w:rsid w:val="00190022"/>
    <w:rsid w:val="00190B23"/>
    <w:rsid w:val="00190E00"/>
    <w:rsid w:val="00190F4E"/>
    <w:rsid w:val="001913B3"/>
    <w:rsid w:val="0019390A"/>
    <w:rsid w:val="00193ACD"/>
    <w:rsid w:val="001948EF"/>
    <w:rsid w:val="00195327"/>
    <w:rsid w:val="001953E3"/>
    <w:rsid w:val="0019639E"/>
    <w:rsid w:val="00196E70"/>
    <w:rsid w:val="001A0CCB"/>
    <w:rsid w:val="001A402E"/>
    <w:rsid w:val="001A43DD"/>
    <w:rsid w:val="001A54CF"/>
    <w:rsid w:val="001A783D"/>
    <w:rsid w:val="001B0A3E"/>
    <w:rsid w:val="001B1636"/>
    <w:rsid w:val="001B289F"/>
    <w:rsid w:val="001B346B"/>
    <w:rsid w:val="001B42FC"/>
    <w:rsid w:val="001B4707"/>
    <w:rsid w:val="001B5807"/>
    <w:rsid w:val="001B64A3"/>
    <w:rsid w:val="001B65B3"/>
    <w:rsid w:val="001C3906"/>
    <w:rsid w:val="001C5E0F"/>
    <w:rsid w:val="001C6317"/>
    <w:rsid w:val="001C7745"/>
    <w:rsid w:val="001D016D"/>
    <w:rsid w:val="001D0B6E"/>
    <w:rsid w:val="001D0E52"/>
    <w:rsid w:val="001D1776"/>
    <w:rsid w:val="001D1F21"/>
    <w:rsid w:val="001D24FF"/>
    <w:rsid w:val="001D265F"/>
    <w:rsid w:val="001D3E88"/>
    <w:rsid w:val="001D5D72"/>
    <w:rsid w:val="001D788D"/>
    <w:rsid w:val="001E0C13"/>
    <w:rsid w:val="001E12E1"/>
    <w:rsid w:val="001E143D"/>
    <w:rsid w:val="001E18BE"/>
    <w:rsid w:val="001E4A65"/>
    <w:rsid w:val="001E5709"/>
    <w:rsid w:val="001E5917"/>
    <w:rsid w:val="001E7263"/>
    <w:rsid w:val="001F0225"/>
    <w:rsid w:val="001F09D5"/>
    <w:rsid w:val="001F26D7"/>
    <w:rsid w:val="001F439F"/>
    <w:rsid w:val="001F4588"/>
    <w:rsid w:val="001F5CFF"/>
    <w:rsid w:val="001F7354"/>
    <w:rsid w:val="001F74AB"/>
    <w:rsid w:val="001F796B"/>
    <w:rsid w:val="002003B9"/>
    <w:rsid w:val="0020073C"/>
    <w:rsid w:val="00200AA0"/>
    <w:rsid w:val="00200E6E"/>
    <w:rsid w:val="00201D70"/>
    <w:rsid w:val="002039DE"/>
    <w:rsid w:val="00203A65"/>
    <w:rsid w:val="0020506E"/>
    <w:rsid w:val="0020684F"/>
    <w:rsid w:val="00206D54"/>
    <w:rsid w:val="002073BE"/>
    <w:rsid w:val="002104DE"/>
    <w:rsid w:val="002131E9"/>
    <w:rsid w:val="002146DC"/>
    <w:rsid w:val="0021524C"/>
    <w:rsid w:val="0021644E"/>
    <w:rsid w:val="0021658F"/>
    <w:rsid w:val="0021676D"/>
    <w:rsid w:val="0021693F"/>
    <w:rsid w:val="00222D20"/>
    <w:rsid w:val="002258B3"/>
    <w:rsid w:val="00225ADA"/>
    <w:rsid w:val="00225C59"/>
    <w:rsid w:val="0022699B"/>
    <w:rsid w:val="00226A94"/>
    <w:rsid w:val="00227495"/>
    <w:rsid w:val="00227B6B"/>
    <w:rsid w:val="00227DD2"/>
    <w:rsid w:val="00227E30"/>
    <w:rsid w:val="00230A3A"/>
    <w:rsid w:val="00232487"/>
    <w:rsid w:val="00232636"/>
    <w:rsid w:val="00233056"/>
    <w:rsid w:val="00233862"/>
    <w:rsid w:val="00234621"/>
    <w:rsid w:val="00234B0F"/>
    <w:rsid w:val="00234C2B"/>
    <w:rsid w:val="00235508"/>
    <w:rsid w:val="002367CC"/>
    <w:rsid w:val="00236C9D"/>
    <w:rsid w:val="00240C1D"/>
    <w:rsid w:val="0024181A"/>
    <w:rsid w:val="00242A68"/>
    <w:rsid w:val="00243A4A"/>
    <w:rsid w:val="00244063"/>
    <w:rsid w:val="002451B9"/>
    <w:rsid w:val="002468A6"/>
    <w:rsid w:val="00251FED"/>
    <w:rsid w:val="0025200E"/>
    <w:rsid w:val="002524B1"/>
    <w:rsid w:val="002562AD"/>
    <w:rsid w:val="00256692"/>
    <w:rsid w:val="002607A3"/>
    <w:rsid w:val="002609D1"/>
    <w:rsid w:val="00262A28"/>
    <w:rsid w:val="00263B2F"/>
    <w:rsid w:val="002649E1"/>
    <w:rsid w:val="0026567E"/>
    <w:rsid w:val="00270C71"/>
    <w:rsid w:val="00270DA7"/>
    <w:rsid w:val="002719F1"/>
    <w:rsid w:val="00272551"/>
    <w:rsid w:val="002738FC"/>
    <w:rsid w:val="002757F0"/>
    <w:rsid w:val="00277FD6"/>
    <w:rsid w:val="00281594"/>
    <w:rsid w:val="002839F9"/>
    <w:rsid w:val="002843AC"/>
    <w:rsid w:val="00284718"/>
    <w:rsid w:val="00284FA5"/>
    <w:rsid w:val="00285236"/>
    <w:rsid w:val="00285E87"/>
    <w:rsid w:val="00287177"/>
    <w:rsid w:val="00287523"/>
    <w:rsid w:val="00287B19"/>
    <w:rsid w:val="00291CB6"/>
    <w:rsid w:val="0029333C"/>
    <w:rsid w:val="00293342"/>
    <w:rsid w:val="0029342D"/>
    <w:rsid w:val="00293933"/>
    <w:rsid w:val="00294822"/>
    <w:rsid w:val="00294C9E"/>
    <w:rsid w:val="00294F6A"/>
    <w:rsid w:val="002950EF"/>
    <w:rsid w:val="00295D59"/>
    <w:rsid w:val="002968ED"/>
    <w:rsid w:val="00296FCF"/>
    <w:rsid w:val="0029733D"/>
    <w:rsid w:val="00297D1F"/>
    <w:rsid w:val="002A1D59"/>
    <w:rsid w:val="002A1F28"/>
    <w:rsid w:val="002A213A"/>
    <w:rsid w:val="002A3493"/>
    <w:rsid w:val="002A3AB9"/>
    <w:rsid w:val="002A4AB7"/>
    <w:rsid w:val="002A4CDA"/>
    <w:rsid w:val="002A6EB0"/>
    <w:rsid w:val="002A71CB"/>
    <w:rsid w:val="002A754A"/>
    <w:rsid w:val="002B0771"/>
    <w:rsid w:val="002B1E54"/>
    <w:rsid w:val="002B3BBA"/>
    <w:rsid w:val="002B3E8D"/>
    <w:rsid w:val="002B49DB"/>
    <w:rsid w:val="002C0A04"/>
    <w:rsid w:val="002C0CF9"/>
    <w:rsid w:val="002C2501"/>
    <w:rsid w:val="002C6518"/>
    <w:rsid w:val="002C6E73"/>
    <w:rsid w:val="002C6FFA"/>
    <w:rsid w:val="002C7A57"/>
    <w:rsid w:val="002D25AA"/>
    <w:rsid w:val="002D4CE1"/>
    <w:rsid w:val="002D4F4C"/>
    <w:rsid w:val="002D586D"/>
    <w:rsid w:val="002D6DCD"/>
    <w:rsid w:val="002E0EB2"/>
    <w:rsid w:val="002E0EEA"/>
    <w:rsid w:val="002E1BBC"/>
    <w:rsid w:val="002E29C2"/>
    <w:rsid w:val="002E36B6"/>
    <w:rsid w:val="002E3D68"/>
    <w:rsid w:val="002E4738"/>
    <w:rsid w:val="002E5A67"/>
    <w:rsid w:val="002E5A68"/>
    <w:rsid w:val="002E61E2"/>
    <w:rsid w:val="002E7ADC"/>
    <w:rsid w:val="002F0AA1"/>
    <w:rsid w:val="002F46A6"/>
    <w:rsid w:val="002F50DA"/>
    <w:rsid w:val="002F5E2B"/>
    <w:rsid w:val="002F65A4"/>
    <w:rsid w:val="00300376"/>
    <w:rsid w:val="00301425"/>
    <w:rsid w:val="00301CE7"/>
    <w:rsid w:val="003043C2"/>
    <w:rsid w:val="0030456A"/>
    <w:rsid w:val="00304CEC"/>
    <w:rsid w:val="00305E10"/>
    <w:rsid w:val="00306892"/>
    <w:rsid w:val="00306A83"/>
    <w:rsid w:val="003102B5"/>
    <w:rsid w:val="00311127"/>
    <w:rsid w:val="003115FD"/>
    <w:rsid w:val="00311921"/>
    <w:rsid w:val="00312E5B"/>
    <w:rsid w:val="00314156"/>
    <w:rsid w:val="0031604E"/>
    <w:rsid w:val="00322844"/>
    <w:rsid w:val="003228CE"/>
    <w:rsid w:val="003230C6"/>
    <w:rsid w:val="00323421"/>
    <w:rsid w:val="003240D6"/>
    <w:rsid w:val="0032421C"/>
    <w:rsid w:val="003260A1"/>
    <w:rsid w:val="003265B3"/>
    <w:rsid w:val="00330359"/>
    <w:rsid w:val="00330A46"/>
    <w:rsid w:val="00331D6F"/>
    <w:rsid w:val="00334553"/>
    <w:rsid w:val="003351C0"/>
    <w:rsid w:val="003369AB"/>
    <w:rsid w:val="0034080D"/>
    <w:rsid w:val="0034145D"/>
    <w:rsid w:val="00342A4E"/>
    <w:rsid w:val="00342EEA"/>
    <w:rsid w:val="00343B3B"/>
    <w:rsid w:val="00344878"/>
    <w:rsid w:val="0034545D"/>
    <w:rsid w:val="0034597E"/>
    <w:rsid w:val="00345D9D"/>
    <w:rsid w:val="003462F7"/>
    <w:rsid w:val="003466D0"/>
    <w:rsid w:val="003478BF"/>
    <w:rsid w:val="00350EDC"/>
    <w:rsid w:val="00350FC3"/>
    <w:rsid w:val="003511A5"/>
    <w:rsid w:val="00352C27"/>
    <w:rsid w:val="00353015"/>
    <w:rsid w:val="0035325A"/>
    <w:rsid w:val="00354328"/>
    <w:rsid w:val="00355B65"/>
    <w:rsid w:val="00357B20"/>
    <w:rsid w:val="003605EA"/>
    <w:rsid w:val="0036160F"/>
    <w:rsid w:val="00362245"/>
    <w:rsid w:val="00363723"/>
    <w:rsid w:val="00365595"/>
    <w:rsid w:val="00367E93"/>
    <w:rsid w:val="003771FD"/>
    <w:rsid w:val="00377435"/>
    <w:rsid w:val="00380F20"/>
    <w:rsid w:val="0038154E"/>
    <w:rsid w:val="00381807"/>
    <w:rsid w:val="0038202B"/>
    <w:rsid w:val="00382525"/>
    <w:rsid w:val="00383947"/>
    <w:rsid w:val="003839F1"/>
    <w:rsid w:val="00384F43"/>
    <w:rsid w:val="00384FD4"/>
    <w:rsid w:val="00385CB0"/>
    <w:rsid w:val="00390555"/>
    <w:rsid w:val="003935CD"/>
    <w:rsid w:val="00394651"/>
    <w:rsid w:val="003959F9"/>
    <w:rsid w:val="003969E2"/>
    <w:rsid w:val="00397C7E"/>
    <w:rsid w:val="00397E4E"/>
    <w:rsid w:val="003A0255"/>
    <w:rsid w:val="003A0677"/>
    <w:rsid w:val="003A2277"/>
    <w:rsid w:val="003A25BA"/>
    <w:rsid w:val="003A2E92"/>
    <w:rsid w:val="003A3E7B"/>
    <w:rsid w:val="003A47F6"/>
    <w:rsid w:val="003A5058"/>
    <w:rsid w:val="003A5587"/>
    <w:rsid w:val="003A58E4"/>
    <w:rsid w:val="003A5952"/>
    <w:rsid w:val="003A5C8F"/>
    <w:rsid w:val="003A78FD"/>
    <w:rsid w:val="003A7BE5"/>
    <w:rsid w:val="003B030B"/>
    <w:rsid w:val="003B0605"/>
    <w:rsid w:val="003B1DA3"/>
    <w:rsid w:val="003B2201"/>
    <w:rsid w:val="003B39E1"/>
    <w:rsid w:val="003B64D3"/>
    <w:rsid w:val="003B6CA5"/>
    <w:rsid w:val="003B6F52"/>
    <w:rsid w:val="003C1956"/>
    <w:rsid w:val="003C2468"/>
    <w:rsid w:val="003C2BDC"/>
    <w:rsid w:val="003C55A2"/>
    <w:rsid w:val="003C6717"/>
    <w:rsid w:val="003C748A"/>
    <w:rsid w:val="003D02C0"/>
    <w:rsid w:val="003D063C"/>
    <w:rsid w:val="003D0C7D"/>
    <w:rsid w:val="003D0D94"/>
    <w:rsid w:val="003D0EB2"/>
    <w:rsid w:val="003D12CA"/>
    <w:rsid w:val="003D3A52"/>
    <w:rsid w:val="003D5F50"/>
    <w:rsid w:val="003D6A62"/>
    <w:rsid w:val="003E01C8"/>
    <w:rsid w:val="003E05C9"/>
    <w:rsid w:val="003E13B8"/>
    <w:rsid w:val="003E14D1"/>
    <w:rsid w:val="003E24B3"/>
    <w:rsid w:val="003E2AF8"/>
    <w:rsid w:val="003E46CF"/>
    <w:rsid w:val="003E509B"/>
    <w:rsid w:val="003E587D"/>
    <w:rsid w:val="003E76C0"/>
    <w:rsid w:val="003F2DB2"/>
    <w:rsid w:val="003F2EE3"/>
    <w:rsid w:val="003F5A60"/>
    <w:rsid w:val="00401264"/>
    <w:rsid w:val="0040197F"/>
    <w:rsid w:val="00401D83"/>
    <w:rsid w:val="0040372D"/>
    <w:rsid w:val="004040C0"/>
    <w:rsid w:val="00404E1B"/>
    <w:rsid w:val="004059E3"/>
    <w:rsid w:val="004064D4"/>
    <w:rsid w:val="004113FA"/>
    <w:rsid w:val="00411A7F"/>
    <w:rsid w:val="004120D7"/>
    <w:rsid w:val="0041666B"/>
    <w:rsid w:val="004170DA"/>
    <w:rsid w:val="00420D01"/>
    <w:rsid w:val="004212A9"/>
    <w:rsid w:val="00422439"/>
    <w:rsid w:val="00423181"/>
    <w:rsid w:val="00423AEB"/>
    <w:rsid w:val="0042469C"/>
    <w:rsid w:val="00424AAF"/>
    <w:rsid w:val="00425722"/>
    <w:rsid w:val="00426456"/>
    <w:rsid w:val="00427050"/>
    <w:rsid w:val="00427869"/>
    <w:rsid w:val="00431DE4"/>
    <w:rsid w:val="004329D7"/>
    <w:rsid w:val="00433657"/>
    <w:rsid w:val="0043564F"/>
    <w:rsid w:val="00437870"/>
    <w:rsid w:val="0044090A"/>
    <w:rsid w:val="00440912"/>
    <w:rsid w:val="00440B9C"/>
    <w:rsid w:val="00442E57"/>
    <w:rsid w:val="004435EE"/>
    <w:rsid w:val="00444129"/>
    <w:rsid w:val="004442B2"/>
    <w:rsid w:val="00444371"/>
    <w:rsid w:val="004443CF"/>
    <w:rsid w:val="00445484"/>
    <w:rsid w:val="004454E6"/>
    <w:rsid w:val="00445C39"/>
    <w:rsid w:val="00446ACF"/>
    <w:rsid w:val="0044744F"/>
    <w:rsid w:val="00447572"/>
    <w:rsid w:val="00447FA8"/>
    <w:rsid w:val="004502D6"/>
    <w:rsid w:val="004511A3"/>
    <w:rsid w:val="00451779"/>
    <w:rsid w:val="00451876"/>
    <w:rsid w:val="00451889"/>
    <w:rsid w:val="004532C8"/>
    <w:rsid w:val="00454795"/>
    <w:rsid w:val="00454BCF"/>
    <w:rsid w:val="004553E3"/>
    <w:rsid w:val="00455C98"/>
    <w:rsid w:val="004560B9"/>
    <w:rsid w:val="0045715F"/>
    <w:rsid w:val="004605C4"/>
    <w:rsid w:val="00460FDD"/>
    <w:rsid w:val="0046133B"/>
    <w:rsid w:val="00461654"/>
    <w:rsid w:val="00461A69"/>
    <w:rsid w:val="004634C6"/>
    <w:rsid w:val="004637AC"/>
    <w:rsid w:val="0047064D"/>
    <w:rsid w:val="004719AC"/>
    <w:rsid w:val="00471ACD"/>
    <w:rsid w:val="00471D49"/>
    <w:rsid w:val="004723C5"/>
    <w:rsid w:val="004736EE"/>
    <w:rsid w:val="004739EE"/>
    <w:rsid w:val="00473DAB"/>
    <w:rsid w:val="00474058"/>
    <w:rsid w:val="00476CEE"/>
    <w:rsid w:val="0048078D"/>
    <w:rsid w:val="004811C6"/>
    <w:rsid w:val="0048296E"/>
    <w:rsid w:val="0048313D"/>
    <w:rsid w:val="00483BE9"/>
    <w:rsid w:val="0048458E"/>
    <w:rsid w:val="00484B57"/>
    <w:rsid w:val="00486056"/>
    <w:rsid w:val="004876F5"/>
    <w:rsid w:val="00490775"/>
    <w:rsid w:val="0049204D"/>
    <w:rsid w:val="0049232F"/>
    <w:rsid w:val="00494F15"/>
    <w:rsid w:val="004A1462"/>
    <w:rsid w:val="004A2165"/>
    <w:rsid w:val="004A30CC"/>
    <w:rsid w:val="004A3FC6"/>
    <w:rsid w:val="004A437F"/>
    <w:rsid w:val="004A68FB"/>
    <w:rsid w:val="004B184A"/>
    <w:rsid w:val="004B2591"/>
    <w:rsid w:val="004B331F"/>
    <w:rsid w:val="004C05E3"/>
    <w:rsid w:val="004C07CE"/>
    <w:rsid w:val="004C08C0"/>
    <w:rsid w:val="004C0F0C"/>
    <w:rsid w:val="004C1258"/>
    <w:rsid w:val="004C1891"/>
    <w:rsid w:val="004C1D9B"/>
    <w:rsid w:val="004C1DC1"/>
    <w:rsid w:val="004C3583"/>
    <w:rsid w:val="004C46AF"/>
    <w:rsid w:val="004C47BC"/>
    <w:rsid w:val="004C5ABF"/>
    <w:rsid w:val="004C5ED5"/>
    <w:rsid w:val="004C61EF"/>
    <w:rsid w:val="004C6D9D"/>
    <w:rsid w:val="004D0650"/>
    <w:rsid w:val="004D093A"/>
    <w:rsid w:val="004D0D6D"/>
    <w:rsid w:val="004D0D72"/>
    <w:rsid w:val="004D1A29"/>
    <w:rsid w:val="004D1E5E"/>
    <w:rsid w:val="004D2C28"/>
    <w:rsid w:val="004D4B44"/>
    <w:rsid w:val="004D763D"/>
    <w:rsid w:val="004E1A0C"/>
    <w:rsid w:val="004E1A55"/>
    <w:rsid w:val="004E24CC"/>
    <w:rsid w:val="004E30C6"/>
    <w:rsid w:val="004E6304"/>
    <w:rsid w:val="004E63D9"/>
    <w:rsid w:val="004E6D8E"/>
    <w:rsid w:val="004E761C"/>
    <w:rsid w:val="004E775D"/>
    <w:rsid w:val="004E7A86"/>
    <w:rsid w:val="004F015F"/>
    <w:rsid w:val="004F07FD"/>
    <w:rsid w:val="004F16E6"/>
    <w:rsid w:val="004F1F32"/>
    <w:rsid w:val="004F31CD"/>
    <w:rsid w:val="004F4182"/>
    <w:rsid w:val="004F4E49"/>
    <w:rsid w:val="004F5B9C"/>
    <w:rsid w:val="004F6396"/>
    <w:rsid w:val="004F7FFD"/>
    <w:rsid w:val="00500EBA"/>
    <w:rsid w:val="0050242F"/>
    <w:rsid w:val="005028F1"/>
    <w:rsid w:val="00502A6C"/>
    <w:rsid w:val="005030A9"/>
    <w:rsid w:val="00503BF4"/>
    <w:rsid w:val="005045D4"/>
    <w:rsid w:val="00504613"/>
    <w:rsid w:val="00504963"/>
    <w:rsid w:val="00505CAF"/>
    <w:rsid w:val="005065B5"/>
    <w:rsid w:val="00506E70"/>
    <w:rsid w:val="00507287"/>
    <w:rsid w:val="005078B2"/>
    <w:rsid w:val="00507E4C"/>
    <w:rsid w:val="00511683"/>
    <w:rsid w:val="005123E7"/>
    <w:rsid w:val="0051279A"/>
    <w:rsid w:val="005128D7"/>
    <w:rsid w:val="005134E8"/>
    <w:rsid w:val="00513B51"/>
    <w:rsid w:val="00514F56"/>
    <w:rsid w:val="005153A2"/>
    <w:rsid w:val="00517029"/>
    <w:rsid w:val="0051714E"/>
    <w:rsid w:val="00520627"/>
    <w:rsid w:val="00521CA0"/>
    <w:rsid w:val="00522D20"/>
    <w:rsid w:val="0052514C"/>
    <w:rsid w:val="005251F7"/>
    <w:rsid w:val="005261CB"/>
    <w:rsid w:val="00530147"/>
    <w:rsid w:val="00531B64"/>
    <w:rsid w:val="005334F9"/>
    <w:rsid w:val="005336B9"/>
    <w:rsid w:val="00533762"/>
    <w:rsid w:val="0053467B"/>
    <w:rsid w:val="00534B17"/>
    <w:rsid w:val="0053516E"/>
    <w:rsid w:val="0053565A"/>
    <w:rsid w:val="005365E1"/>
    <w:rsid w:val="005367D2"/>
    <w:rsid w:val="00542646"/>
    <w:rsid w:val="00543140"/>
    <w:rsid w:val="005439A3"/>
    <w:rsid w:val="00543D09"/>
    <w:rsid w:val="00546607"/>
    <w:rsid w:val="00547B89"/>
    <w:rsid w:val="00550E45"/>
    <w:rsid w:val="005520FB"/>
    <w:rsid w:val="0055304B"/>
    <w:rsid w:val="005534C4"/>
    <w:rsid w:val="005538A4"/>
    <w:rsid w:val="00553E7B"/>
    <w:rsid w:val="005600B8"/>
    <w:rsid w:val="00565375"/>
    <w:rsid w:val="00567710"/>
    <w:rsid w:val="005678E7"/>
    <w:rsid w:val="0057003A"/>
    <w:rsid w:val="005702B2"/>
    <w:rsid w:val="00570AAD"/>
    <w:rsid w:val="00570C93"/>
    <w:rsid w:val="005731FB"/>
    <w:rsid w:val="00575CED"/>
    <w:rsid w:val="0057650E"/>
    <w:rsid w:val="005765CE"/>
    <w:rsid w:val="0057762D"/>
    <w:rsid w:val="00577694"/>
    <w:rsid w:val="00581EEB"/>
    <w:rsid w:val="0058201D"/>
    <w:rsid w:val="00582407"/>
    <w:rsid w:val="00582A18"/>
    <w:rsid w:val="00582CF1"/>
    <w:rsid w:val="00583147"/>
    <w:rsid w:val="00584F33"/>
    <w:rsid w:val="00586503"/>
    <w:rsid w:val="00587AF3"/>
    <w:rsid w:val="00591D63"/>
    <w:rsid w:val="005920CC"/>
    <w:rsid w:val="005938BA"/>
    <w:rsid w:val="005946FE"/>
    <w:rsid w:val="00596874"/>
    <w:rsid w:val="00597207"/>
    <w:rsid w:val="00597768"/>
    <w:rsid w:val="005A105A"/>
    <w:rsid w:val="005A1BE3"/>
    <w:rsid w:val="005A2952"/>
    <w:rsid w:val="005A2E99"/>
    <w:rsid w:val="005A4192"/>
    <w:rsid w:val="005A4481"/>
    <w:rsid w:val="005A52F9"/>
    <w:rsid w:val="005A5B60"/>
    <w:rsid w:val="005A6404"/>
    <w:rsid w:val="005A7A33"/>
    <w:rsid w:val="005A7A4B"/>
    <w:rsid w:val="005B1734"/>
    <w:rsid w:val="005B1E81"/>
    <w:rsid w:val="005B22B5"/>
    <w:rsid w:val="005B2B22"/>
    <w:rsid w:val="005B346D"/>
    <w:rsid w:val="005B34BC"/>
    <w:rsid w:val="005B376E"/>
    <w:rsid w:val="005B5052"/>
    <w:rsid w:val="005C628C"/>
    <w:rsid w:val="005C72B1"/>
    <w:rsid w:val="005D02ED"/>
    <w:rsid w:val="005D4301"/>
    <w:rsid w:val="005D50EC"/>
    <w:rsid w:val="005D5FF5"/>
    <w:rsid w:val="005D7301"/>
    <w:rsid w:val="005D754B"/>
    <w:rsid w:val="005D7F03"/>
    <w:rsid w:val="005E1085"/>
    <w:rsid w:val="005E15CA"/>
    <w:rsid w:val="005E4245"/>
    <w:rsid w:val="005E496C"/>
    <w:rsid w:val="005E530C"/>
    <w:rsid w:val="005E7437"/>
    <w:rsid w:val="005F0BF5"/>
    <w:rsid w:val="005F1EC7"/>
    <w:rsid w:val="005F2995"/>
    <w:rsid w:val="005F2A21"/>
    <w:rsid w:val="005F2C93"/>
    <w:rsid w:val="005F33AC"/>
    <w:rsid w:val="005F3A6A"/>
    <w:rsid w:val="005F3ACE"/>
    <w:rsid w:val="005F3F37"/>
    <w:rsid w:val="005F5EC0"/>
    <w:rsid w:val="005F74FF"/>
    <w:rsid w:val="005F7D66"/>
    <w:rsid w:val="006008C0"/>
    <w:rsid w:val="00600A38"/>
    <w:rsid w:val="00601515"/>
    <w:rsid w:val="00601571"/>
    <w:rsid w:val="006017B0"/>
    <w:rsid w:val="00601CD7"/>
    <w:rsid w:val="006021D1"/>
    <w:rsid w:val="00602B1F"/>
    <w:rsid w:val="00603D44"/>
    <w:rsid w:val="00604310"/>
    <w:rsid w:val="006051F6"/>
    <w:rsid w:val="00606FE7"/>
    <w:rsid w:val="0060744F"/>
    <w:rsid w:val="006109C3"/>
    <w:rsid w:val="0061201B"/>
    <w:rsid w:val="00614C73"/>
    <w:rsid w:val="006161F4"/>
    <w:rsid w:val="006163E7"/>
    <w:rsid w:val="00616D19"/>
    <w:rsid w:val="0062049F"/>
    <w:rsid w:val="00623D2F"/>
    <w:rsid w:val="0062612C"/>
    <w:rsid w:val="00626E9B"/>
    <w:rsid w:val="0063041B"/>
    <w:rsid w:val="006304FC"/>
    <w:rsid w:val="00630AE7"/>
    <w:rsid w:val="00633B35"/>
    <w:rsid w:val="00633BDC"/>
    <w:rsid w:val="0063439B"/>
    <w:rsid w:val="0063583C"/>
    <w:rsid w:val="00637338"/>
    <w:rsid w:val="00640D2F"/>
    <w:rsid w:val="00641E2E"/>
    <w:rsid w:val="00642881"/>
    <w:rsid w:val="00643E7F"/>
    <w:rsid w:val="006457BF"/>
    <w:rsid w:val="0065001E"/>
    <w:rsid w:val="0065088A"/>
    <w:rsid w:val="00650FA0"/>
    <w:rsid w:val="00655234"/>
    <w:rsid w:val="006556A5"/>
    <w:rsid w:val="00655E41"/>
    <w:rsid w:val="006568D6"/>
    <w:rsid w:val="0065745D"/>
    <w:rsid w:val="00657B05"/>
    <w:rsid w:val="00657F2D"/>
    <w:rsid w:val="0066004E"/>
    <w:rsid w:val="00661011"/>
    <w:rsid w:val="00661075"/>
    <w:rsid w:val="00661B79"/>
    <w:rsid w:val="00663529"/>
    <w:rsid w:val="0066381A"/>
    <w:rsid w:val="006646B4"/>
    <w:rsid w:val="0066660F"/>
    <w:rsid w:val="00667258"/>
    <w:rsid w:val="00667F25"/>
    <w:rsid w:val="006702CA"/>
    <w:rsid w:val="00670B13"/>
    <w:rsid w:val="00671949"/>
    <w:rsid w:val="0067256C"/>
    <w:rsid w:val="00672646"/>
    <w:rsid w:val="00673059"/>
    <w:rsid w:val="0067308C"/>
    <w:rsid w:val="00673530"/>
    <w:rsid w:val="006736BB"/>
    <w:rsid w:val="00674634"/>
    <w:rsid w:val="00675ACC"/>
    <w:rsid w:val="00675BF1"/>
    <w:rsid w:val="0068049D"/>
    <w:rsid w:val="00680E74"/>
    <w:rsid w:val="00683034"/>
    <w:rsid w:val="006837C4"/>
    <w:rsid w:val="006842F2"/>
    <w:rsid w:val="00684D1D"/>
    <w:rsid w:val="00684D3B"/>
    <w:rsid w:val="00685FFE"/>
    <w:rsid w:val="00687C2D"/>
    <w:rsid w:val="00687C99"/>
    <w:rsid w:val="00687CAB"/>
    <w:rsid w:val="00687E60"/>
    <w:rsid w:val="00690C43"/>
    <w:rsid w:val="0069102C"/>
    <w:rsid w:val="0069542B"/>
    <w:rsid w:val="0069562D"/>
    <w:rsid w:val="00695BEB"/>
    <w:rsid w:val="00696752"/>
    <w:rsid w:val="00697D5B"/>
    <w:rsid w:val="006A070C"/>
    <w:rsid w:val="006A3A7B"/>
    <w:rsid w:val="006A44E6"/>
    <w:rsid w:val="006A4B49"/>
    <w:rsid w:val="006A4C22"/>
    <w:rsid w:val="006A4FE6"/>
    <w:rsid w:val="006A5E7D"/>
    <w:rsid w:val="006A73C8"/>
    <w:rsid w:val="006A7BE6"/>
    <w:rsid w:val="006B04EE"/>
    <w:rsid w:val="006B2256"/>
    <w:rsid w:val="006B2609"/>
    <w:rsid w:val="006B2ABB"/>
    <w:rsid w:val="006B3DC4"/>
    <w:rsid w:val="006B3DD3"/>
    <w:rsid w:val="006B43FB"/>
    <w:rsid w:val="006B5103"/>
    <w:rsid w:val="006B5759"/>
    <w:rsid w:val="006B5D02"/>
    <w:rsid w:val="006B6AA9"/>
    <w:rsid w:val="006B6BF4"/>
    <w:rsid w:val="006B773A"/>
    <w:rsid w:val="006C02D9"/>
    <w:rsid w:val="006C1193"/>
    <w:rsid w:val="006C3EBB"/>
    <w:rsid w:val="006C3EF9"/>
    <w:rsid w:val="006C4185"/>
    <w:rsid w:val="006C7781"/>
    <w:rsid w:val="006D057E"/>
    <w:rsid w:val="006D063B"/>
    <w:rsid w:val="006D1ACD"/>
    <w:rsid w:val="006D39B2"/>
    <w:rsid w:val="006D3D4F"/>
    <w:rsid w:val="006D4F1A"/>
    <w:rsid w:val="006D52E2"/>
    <w:rsid w:val="006D569B"/>
    <w:rsid w:val="006D6087"/>
    <w:rsid w:val="006D665B"/>
    <w:rsid w:val="006D6684"/>
    <w:rsid w:val="006D70B9"/>
    <w:rsid w:val="006E3977"/>
    <w:rsid w:val="006E4A85"/>
    <w:rsid w:val="006E66CC"/>
    <w:rsid w:val="006E74B2"/>
    <w:rsid w:val="006F0A29"/>
    <w:rsid w:val="006F167D"/>
    <w:rsid w:val="006F18D5"/>
    <w:rsid w:val="006F21E8"/>
    <w:rsid w:val="006F40F6"/>
    <w:rsid w:val="006F50EA"/>
    <w:rsid w:val="006F535A"/>
    <w:rsid w:val="006F6C6D"/>
    <w:rsid w:val="006F6CB9"/>
    <w:rsid w:val="0070104D"/>
    <w:rsid w:val="0070180F"/>
    <w:rsid w:val="0070291B"/>
    <w:rsid w:val="00705CB0"/>
    <w:rsid w:val="00706A1C"/>
    <w:rsid w:val="00706D1F"/>
    <w:rsid w:val="007079CA"/>
    <w:rsid w:val="00707A08"/>
    <w:rsid w:val="00711DD9"/>
    <w:rsid w:val="007129BC"/>
    <w:rsid w:val="00713675"/>
    <w:rsid w:val="00716A2E"/>
    <w:rsid w:val="0071725C"/>
    <w:rsid w:val="00720960"/>
    <w:rsid w:val="00720C0A"/>
    <w:rsid w:val="00723029"/>
    <w:rsid w:val="007238C9"/>
    <w:rsid w:val="007255BB"/>
    <w:rsid w:val="007261BD"/>
    <w:rsid w:val="007277B7"/>
    <w:rsid w:val="00730606"/>
    <w:rsid w:val="0073088E"/>
    <w:rsid w:val="00731685"/>
    <w:rsid w:val="0073409B"/>
    <w:rsid w:val="0073493B"/>
    <w:rsid w:val="00735270"/>
    <w:rsid w:val="00736542"/>
    <w:rsid w:val="00736F58"/>
    <w:rsid w:val="007414D0"/>
    <w:rsid w:val="007414E2"/>
    <w:rsid w:val="007415F5"/>
    <w:rsid w:val="00741E73"/>
    <w:rsid w:val="007434AF"/>
    <w:rsid w:val="0074367C"/>
    <w:rsid w:val="00745D5B"/>
    <w:rsid w:val="00750648"/>
    <w:rsid w:val="00750D1B"/>
    <w:rsid w:val="0075138D"/>
    <w:rsid w:val="0075226D"/>
    <w:rsid w:val="00753A65"/>
    <w:rsid w:val="00756D04"/>
    <w:rsid w:val="00757D2A"/>
    <w:rsid w:val="00757E3E"/>
    <w:rsid w:val="007610FC"/>
    <w:rsid w:val="00761478"/>
    <w:rsid w:val="0076153A"/>
    <w:rsid w:val="007616C3"/>
    <w:rsid w:val="00762332"/>
    <w:rsid w:val="007651FD"/>
    <w:rsid w:val="0077228C"/>
    <w:rsid w:val="00772377"/>
    <w:rsid w:val="00772D1D"/>
    <w:rsid w:val="00772D62"/>
    <w:rsid w:val="00773851"/>
    <w:rsid w:val="00773F92"/>
    <w:rsid w:val="007754E2"/>
    <w:rsid w:val="00776024"/>
    <w:rsid w:val="00776ADA"/>
    <w:rsid w:val="007774A8"/>
    <w:rsid w:val="00780F1E"/>
    <w:rsid w:val="00781862"/>
    <w:rsid w:val="00781B19"/>
    <w:rsid w:val="00782C40"/>
    <w:rsid w:val="0078329D"/>
    <w:rsid w:val="0078417B"/>
    <w:rsid w:val="0078460A"/>
    <w:rsid w:val="00784D8B"/>
    <w:rsid w:val="00784E32"/>
    <w:rsid w:val="00785C7B"/>
    <w:rsid w:val="00787AE9"/>
    <w:rsid w:val="00790F5E"/>
    <w:rsid w:val="00791DA5"/>
    <w:rsid w:val="00792926"/>
    <w:rsid w:val="00795C11"/>
    <w:rsid w:val="00796DA4"/>
    <w:rsid w:val="00797A7D"/>
    <w:rsid w:val="00797AA0"/>
    <w:rsid w:val="007A1784"/>
    <w:rsid w:val="007A18C0"/>
    <w:rsid w:val="007A29E6"/>
    <w:rsid w:val="007A2F94"/>
    <w:rsid w:val="007A3B37"/>
    <w:rsid w:val="007A432D"/>
    <w:rsid w:val="007A7044"/>
    <w:rsid w:val="007A73F2"/>
    <w:rsid w:val="007B0BEB"/>
    <w:rsid w:val="007B1529"/>
    <w:rsid w:val="007B1AC2"/>
    <w:rsid w:val="007B1D2A"/>
    <w:rsid w:val="007B2BEF"/>
    <w:rsid w:val="007B33A6"/>
    <w:rsid w:val="007B3B95"/>
    <w:rsid w:val="007B4774"/>
    <w:rsid w:val="007B4AB0"/>
    <w:rsid w:val="007B6AB3"/>
    <w:rsid w:val="007B7B47"/>
    <w:rsid w:val="007C0447"/>
    <w:rsid w:val="007C1194"/>
    <w:rsid w:val="007C20F4"/>
    <w:rsid w:val="007C30F5"/>
    <w:rsid w:val="007C371F"/>
    <w:rsid w:val="007C5C8C"/>
    <w:rsid w:val="007C5F40"/>
    <w:rsid w:val="007D2CDE"/>
    <w:rsid w:val="007D4300"/>
    <w:rsid w:val="007D535F"/>
    <w:rsid w:val="007D59AE"/>
    <w:rsid w:val="007D67B9"/>
    <w:rsid w:val="007E053B"/>
    <w:rsid w:val="007E1F96"/>
    <w:rsid w:val="007E4168"/>
    <w:rsid w:val="007E45B2"/>
    <w:rsid w:val="007E548A"/>
    <w:rsid w:val="007E6167"/>
    <w:rsid w:val="007E6768"/>
    <w:rsid w:val="007E72A6"/>
    <w:rsid w:val="007E7D42"/>
    <w:rsid w:val="007F0758"/>
    <w:rsid w:val="007F1C1F"/>
    <w:rsid w:val="007F3EC3"/>
    <w:rsid w:val="007F3F2E"/>
    <w:rsid w:val="007F4B1E"/>
    <w:rsid w:val="007F4F5E"/>
    <w:rsid w:val="007F527B"/>
    <w:rsid w:val="007F59FB"/>
    <w:rsid w:val="007F7552"/>
    <w:rsid w:val="00800A33"/>
    <w:rsid w:val="00800D2A"/>
    <w:rsid w:val="00801393"/>
    <w:rsid w:val="008029DB"/>
    <w:rsid w:val="00802AC7"/>
    <w:rsid w:val="00802B08"/>
    <w:rsid w:val="00804897"/>
    <w:rsid w:val="00805024"/>
    <w:rsid w:val="00805BF2"/>
    <w:rsid w:val="00806642"/>
    <w:rsid w:val="00806B28"/>
    <w:rsid w:val="00806C0F"/>
    <w:rsid w:val="00806F5E"/>
    <w:rsid w:val="00810391"/>
    <w:rsid w:val="008106CA"/>
    <w:rsid w:val="008108A0"/>
    <w:rsid w:val="00813833"/>
    <w:rsid w:val="00814C2D"/>
    <w:rsid w:val="00815874"/>
    <w:rsid w:val="008163BD"/>
    <w:rsid w:val="008172B6"/>
    <w:rsid w:val="00820EF6"/>
    <w:rsid w:val="008224D1"/>
    <w:rsid w:val="0082262F"/>
    <w:rsid w:val="00823018"/>
    <w:rsid w:val="00823142"/>
    <w:rsid w:val="00823EE1"/>
    <w:rsid w:val="00826488"/>
    <w:rsid w:val="00826FEE"/>
    <w:rsid w:val="00830E2B"/>
    <w:rsid w:val="0083448D"/>
    <w:rsid w:val="00834C34"/>
    <w:rsid w:val="00834E58"/>
    <w:rsid w:val="0083506B"/>
    <w:rsid w:val="00835B64"/>
    <w:rsid w:val="00837DCD"/>
    <w:rsid w:val="0084155B"/>
    <w:rsid w:val="008419BE"/>
    <w:rsid w:val="0084349F"/>
    <w:rsid w:val="0084370E"/>
    <w:rsid w:val="00843ACA"/>
    <w:rsid w:val="0084471A"/>
    <w:rsid w:val="00845390"/>
    <w:rsid w:val="0084664D"/>
    <w:rsid w:val="00846CCB"/>
    <w:rsid w:val="00847ADD"/>
    <w:rsid w:val="00847CF3"/>
    <w:rsid w:val="008514A5"/>
    <w:rsid w:val="00852272"/>
    <w:rsid w:val="00854066"/>
    <w:rsid w:val="00854547"/>
    <w:rsid w:val="00855C66"/>
    <w:rsid w:val="00857B55"/>
    <w:rsid w:val="00860300"/>
    <w:rsid w:val="008623DA"/>
    <w:rsid w:val="00865143"/>
    <w:rsid w:val="00865DDF"/>
    <w:rsid w:val="0086698B"/>
    <w:rsid w:val="008700A1"/>
    <w:rsid w:val="00870F3B"/>
    <w:rsid w:val="00873079"/>
    <w:rsid w:val="00873A21"/>
    <w:rsid w:val="008744E0"/>
    <w:rsid w:val="0087491F"/>
    <w:rsid w:val="008759A6"/>
    <w:rsid w:val="00875A39"/>
    <w:rsid w:val="00877761"/>
    <w:rsid w:val="00877CCC"/>
    <w:rsid w:val="00880578"/>
    <w:rsid w:val="008822D4"/>
    <w:rsid w:val="0088285F"/>
    <w:rsid w:val="00882E39"/>
    <w:rsid w:val="00883BF2"/>
    <w:rsid w:val="0088745E"/>
    <w:rsid w:val="008876C8"/>
    <w:rsid w:val="008907F7"/>
    <w:rsid w:val="00891146"/>
    <w:rsid w:val="00894442"/>
    <w:rsid w:val="008945C5"/>
    <w:rsid w:val="008949EB"/>
    <w:rsid w:val="00894ED6"/>
    <w:rsid w:val="0089559E"/>
    <w:rsid w:val="008957BA"/>
    <w:rsid w:val="00895AE4"/>
    <w:rsid w:val="00896B55"/>
    <w:rsid w:val="00897E52"/>
    <w:rsid w:val="008A1B42"/>
    <w:rsid w:val="008A2616"/>
    <w:rsid w:val="008A2CB5"/>
    <w:rsid w:val="008A3A85"/>
    <w:rsid w:val="008A6EB1"/>
    <w:rsid w:val="008A7B19"/>
    <w:rsid w:val="008B059E"/>
    <w:rsid w:val="008B1A0D"/>
    <w:rsid w:val="008B4D8F"/>
    <w:rsid w:val="008B6954"/>
    <w:rsid w:val="008B725D"/>
    <w:rsid w:val="008C0384"/>
    <w:rsid w:val="008C43E6"/>
    <w:rsid w:val="008C58C1"/>
    <w:rsid w:val="008C5D92"/>
    <w:rsid w:val="008D0541"/>
    <w:rsid w:val="008D25C0"/>
    <w:rsid w:val="008D52BC"/>
    <w:rsid w:val="008D6035"/>
    <w:rsid w:val="008D6AB5"/>
    <w:rsid w:val="008E0206"/>
    <w:rsid w:val="008E0DFC"/>
    <w:rsid w:val="008E2356"/>
    <w:rsid w:val="008E2FDE"/>
    <w:rsid w:val="008E33E1"/>
    <w:rsid w:val="008E3D87"/>
    <w:rsid w:val="008E4681"/>
    <w:rsid w:val="008F0D26"/>
    <w:rsid w:val="008F0D5B"/>
    <w:rsid w:val="008F136C"/>
    <w:rsid w:val="008F18E2"/>
    <w:rsid w:val="008F1E00"/>
    <w:rsid w:val="008F24B0"/>
    <w:rsid w:val="008F2B47"/>
    <w:rsid w:val="008F6D62"/>
    <w:rsid w:val="009005FF"/>
    <w:rsid w:val="00900891"/>
    <w:rsid w:val="00901E97"/>
    <w:rsid w:val="00902055"/>
    <w:rsid w:val="0090274A"/>
    <w:rsid w:val="00902E5A"/>
    <w:rsid w:val="009031A2"/>
    <w:rsid w:val="009040EA"/>
    <w:rsid w:val="009045C5"/>
    <w:rsid w:val="00906D3C"/>
    <w:rsid w:val="00907622"/>
    <w:rsid w:val="0090783E"/>
    <w:rsid w:val="009107F1"/>
    <w:rsid w:val="00911205"/>
    <w:rsid w:val="009115EA"/>
    <w:rsid w:val="00911811"/>
    <w:rsid w:val="0091281D"/>
    <w:rsid w:val="00912AD1"/>
    <w:rsid w:val="009134BF"/>
    <w:rsid w:val="00914510"/>
    <w:rsid w:val="00917771"/>
    <w:rsid w:val="00917FFD"/>
    <w:rsid w:val="009201CA"/>
    <w:rsid w:val="009202F6"/>
    <w:rsid w:val="00921032"/>
    <w:rsid w:val="0092168E"/>
    <w:rsid w:val="009225D3"/>
    <w:rsid w:val="009228D8"/>
    <w:rsid w:val="0092379F"/>
    <w:rsid w:val="00924B00"/>
    <w:rsid w:val="0092576F"/>
    <w:rsid w:val="009279A5"/>
    <w:rsid w:val="00927AA6"/>
    <w:rsid w:val="009306DA"/>
    <w:rsid w:val="00930B2B"/>
    <w:rsid w:val="009363D0"/>
    <w:rsid w:val="0093761F"/>
    <w:rsid w:val="00937B50"/>
    <w:rsid w:val="00937B6A"/>
    <w:rsid w:val="00937C83"/>
    <w:rsid w:val="00940EBF"/>
    <w:rsid w:val="009431D6"/>
    <w:rsid w:val="00943A83"/>
    <w:rsid w:val="00944657"/>
    <w:rsid w:val="00945364"/>
    <w:rsid w:val="009465DD"/>
    <w:rsid w:val="009475CC"/>
    <w:rsid w:val="00947830"/>
    <w:rsid w:val="009505AE"/>
    <w:rsid w:val="009505C7"/>
    <w:rsid w:val="00951DFD"/>
    <w:rsid w:val="009533C4"/>
    <w:rsid w:val="00955EE5"/>
    <w:rsid w:val="00956EB9"/>
    <w:rsid w:val="00956F2D"/>
    <w:rsid w:val="0096343D"/>
    <w:rsid w:val="0096507A"/>
    <w:rsid w:val="0096590F"/>
    <w:rsid w:val="009662E1"/>
    <w:rsid w:val="00967460"/>
    <w:rsid w:val="0096758C"/>
    <w:rsid w:val="00967685"/>
    <w:rsid w:val="0097022F"/>
    <w:rsid w:val="00970AB3"/>
    <w:rsid w:val="009729CD"/>
    <w:rsid w:val="009736C0"/>
    <w:rsid w:val="009736F2"/>
    <w:rsid w:val="00973E90"/>
    <w:rsid w:val="0097483B"/>
    <w:rsid w:val="00974874"/>
    <w:rsid w:val="00974A97"/>
    <w:rsid w:val="00975D35"/>
    <w:rsid w:val="00977A37"/>
    <w:rsid w:val="00982CF9"/>
    <w:rsid w:val="00983B2E"/>
    <w:rsid w:val="00984176"/>
    <w:rsid w:val="0098620A"/>
    <w:rsid w:val="0098663E"/>
    <w:rsid w:val="009902B7"/>
    <w:rsid w:val="00990345"/>
    <w:rsid w:val="00990B0C"/>
    <w:rsid w:val="00990B0D"/>
    <w:rsid w:val="00990FDD"/>
    <w:rsid w:val="0099105F"/>
    <w:rsid w:val="009929C8"/>
    <w:rsid w:val="00992C38"/>
    <w:rsid w:val="00995109"/>
    <w:rsid w:val="009951C9"/>
    <w:rsid w:val="00996F71"/>
    <w:rsid w:val="009A02E5"/>
    <w:rsid w:val="009A17A1"/>
    <w:rsid w:val="009A2ECE"/>
    <w:rsid w:val="009A3827"/>
    <w:rsid w:val="009A452C"/>
    <w:rsid w:val="009A62EA"/>
    <w:rsid w:val="009A6B0F"/>
    <w:rsid w:val="009A7A86"/>
    <w:rsid w:val="009B444D"/>
    <w:rsid w:val="009B7AAE"/>
    <w:rsid w:val="009B7FAA"/>
    <w:rsid w:val="009C053C"/>
    <w:rsid w:val="009C133F"/>
    <w:rsid w:val="009C1471"/>
    <w:rsid w:val="009C235E"/>
    <w:rsid w:val="009C3B0B"/>
    <w:rsid w:val="009C6029"/>
    <w:rsid w:val="009D1AA4"/>
    <w:rsid w:val="009D551B"/>
    <w:rsid w:val="009D66F5"/>
    <w:rsid w:val="009D6938"/>
    <w:rsid w:val="009E22F1"/>
    <w:rsid w:val="009E25A4"/>
    <w:rsid w:val="009E398A"/>
    <w:rsid w:val="009E51EC"/>
    <w:rsid w:val="009E7E1D"/>
    <w:rsid w:val="009E7E43"/>
    <w:rsid w:val="009F0AC9"/>
    <w:rsid w:val="009F1589"/>
    <w:rsid w:val="009F2238"/>
    <w:rsid w:val="009F4817"/>
    <w:rsid w:val="009F50F9"/>
    <w:rsid w:val="009F6919"/>
    <w:rsid w:val="009F73DD"/>
    <w:rsid w:val="00A000FD"/>
    <w:rsid w:val="00A008B4"/>
    <w:rsid w:val="00A00E36"/>
    <w:rsid w:val="00A02367"/>
    <w:rsid w:val="00A025DB"/>
    <w:rsid w:val="00A04150"/>
    <w:rsid w:val="00A04DF8"/>
    <w:rsid w:val="00A06D01"/>
    <w:rsid w:val="00A104D3"/>
    <w:rsid w:val="00A1081C"/>
    <w:rsid w:val="00A1099E"/>
    <w:rsid w:val="00A10D9D"/>
    <w:rsid w:val="00A11A8A"/>
    <w:rsid w:val="00A11B49"/>
    <w:rsid w:val="00A14E4C"/>
    <w:rsid w:val="00A15551"/>
    <w:rsid w:val="00A20EA5"/>
    <w:rsid w:val="00A21E92"/>
    <w:rsid w:val="00A21FFE"/>
    <w:rsid w:val="00A232D6"/>
    <w:rsid w:val="00A23712"/>
    <w:rsid w:val="00A23922"/>
    <w:rsid w:val="00A23AEA"/>
    <w:rsid w:val="00A2443E"/>
    <w:rsid w:val="00A24DA5"/>
    <w:rsid w:val="00A2569B"/>
    <w:rsid w:val="00A25B16"/>
    <w:rsid w:val="00A26688"/>
    <w:rsid w:val="00A3015A"/>
    <w:rsid w:val="00A30245"/>
    <w:rsid w:val="00A3227C"/>
    <w:rsid w:val="00A322F1"/>
    <w:rsid w:val="00A32D6B"/>
    <w:rsid w:val="00A332BC"/>
    <w:rsid w:val="00A34E2E"/>
    <w:rsid w:val="00A35051"/>
    <w:rsid w:val="00A35DBA"/>
    <w:rsid w:val="00A35E94"/>
    <w:rsid w:val="00A37970"/>
    <w:rsid w:val="00A434A1"/>
    <w:rsid w:val="00A44EB1"/>
    <w:rsid w:val="00A4600D"/>
    <w:rsid w:val="00A4608C"/>
    <w:rsid w:val="00A47B0B"/>
    <w:rsid w:val="00A53124"/>
    <w:rsid w:val="00A547C5"/>
    <w:rsid w:val="00A57A9E"/>
    <w:rsid w:val="00A57D1C"/>
    <w:rsid w:val="00A6076B"/>
    <w:rsid w:val="00A61290"/>
    <w:rsid w:val="00A61EDC"/>
    <w:rsid w:val="00A631E6"/>
    <w:rsid w:val="00A72264"/>
    <w:rsid w:val="00A73778"/>
    <w:rsid w:val="00A74967"/>
    <w:rsid w:val="00A766E4"/>
    <w:rsid w:val="00A768E2"/>
    <w:rsid w:val="00A80012"/>
    <w:rsid w:val="00A8069F"/>
    <w:rsid w:val="00A81131"/>
    <w:rsid w:val="00A82382"/>
    <w:rsid w:val="00A82839"/>
    <w:rsid w:val="00A82963"/>
    <w:rsid w:val="00A83347"/>
    <w:rsid w:val="00A844AE"/>
    <w:rsid w:val="00A9088F"/>
    <w:rsid w:val="00A914FF"/>
    <w:rsid w:val="00A921FD"/>
    <w:rsid w:val="00A946B7"/>
    <w:rsid w:val="00A94F2E"/>
    <w:rsid w:val="00A952AD"/>
    <w:rsid w:val="00AA1BEC"/>
    <w:rsid w:val="00AA1D69"/>
    <w:rsid w:val="00AA26D0"/>
    <w:rsid w:val="00AA2AD2"/>
    <w:rsid w:val="00AA3A6B"/>
    <w:rsid w:val="00AA3E93"/>
    <w:rsid w:val="00AA4CB9"/>
    <w:rsid w:val="00AA514E"/>
    <w:rsid w:val="00AA59F1"/>
    <w:rsid w:val="00AA5E8E"/>
    <w:rsid w:val="00AA64BD"/>
    <w:rsid w:val="00AA677C"/>
    <w:rsid w:val="00AA73D4"/>
    <w:rsid w:val="00AB0322"/>
    <w:rsid w:val="00AB06A9"/>
    <w:rsid w:val="00AB091A"/>
    <w:rsid w:val="00AB4BC3"/>
    <w:rsid w:val="00AB5170"/>
    <w:rsid w:val="00AB6431"/>
    <w:rsid w:val="00AB7AAC"/>
    <w:rsid w:val="00AC1024"/>
    <w:rsid w:val="00AC3049"/>
    <w:rsid w:val="00AC5286"/>
    <w:rsid w:val="00AC6C75"/>
    <w:rsid w:val="00AC6C96"/>
    <w:rsid w:val="00AC6CED"/>
    <w:rsid w:val="00AC7C45"/>
    <w:rsid w:val="00AD1A9F"/>
    <w:rsid w:val="00AD1E41"/>
    <w:rsid w:val="00AD211D"/>
    <w:rsid w:val="00AD2132"/>
    <w:rsid w:val="00AD2B00"/>
    <w:rsid w:val="00AD30F4"/>
    <w:rsid w:val="00AD3292"/>
    <w:rsid w:val="00AD5630"/>
    <w:rsid w:val="00AD5AF1"/>
    <w:rsid w:val="00AD6646"/>
    <w:rsid w:val="00AD74DD"/>
    <w:rsid w:val="00AE2D18"/>
    <w:rsid w:val="00AE5132"/>
    <w:rsid w:val="00AE6705"/>
    <w:rsid w:val="00AE7F34"/>
    <w:rsid w:val="00AF043F"/>
    <w:rsid w:val="00AF0638"/>
    <w:rsid w:val="00AF10BE"/>
    <w:rsid w:val="00AF1B7D"/>
    <w:rsid w:val="00AF2347"/>
    <w:rsid w:val="00AF31F8"/>
    <w:rsid w:val="00AF32C0"/>
    <w:rsid w:val="00AF3F30"/>
    <w:rsid w:val="00AF423B"/>
    <w:rsid w:val="00AF4DB9"/>
    <w:rsid w:val="00AF504E"/>
    <w:rsid w:val="00AF6095"/>
    <w:rsid w:val="00AF628D"/>
    <w:rsid w:val="00AF77B0"/>
    <w:rsid w:val="00B00E10"/>
    <w:rsid w:val="00B01A99"/>
    <w:rsid w:val="00B01E39"/>
    <w:rsid w:val="00B02FF7"/>
    <w:rsid w:val="00B041BF"/>
    <w:rsid w:val="00B04229"/>
    <w:rsid w:val="00B04A18"/>
    <w:rsid w:val="00B069D7"/>
    <w:rsid w:val="00B0763E"/>
    <w:rsid w:val="00B108ED"/>
    <w:rsid w:val="00B11CC8"/>
    <w:rsid w:val="00B121EF"/>
    <w:rsid w:val="00B13B0B"/>
    <w:rsid w:val="00B149ED"/>
    <w:rsid w:val="00B14D82"/>
    <w:rsid w:val="00B14E82"/>
    <w:rsid w:val="00B14EB8"/>
    <w:rsid w:val="00B16E72"/>
    <w:rsid w:val="00B17F3A"/>
    <w:rsid w:val="00B20607"/>
    <w:rsid w:val="00B2122A"/>
    <w:rsid w:val="00B229C6"/>
    <w:rsid w:val="00B23063"/>
    <w:rsid w:val="00B2396E"/>
    <w:rsid w:val="00B25E95"/>
    <w:rsid w:val="00B266FE"/>
    <w:rsid w:val="00B31167"/>
    <w:rsid w:val="00B314C1"/>
    <w:rsid w:val="00B316AB"/>
    <w:rsid w:val="00B32978"/>
    <w:rsid w:val="00B3306E"/>
    <w:rsid w:val="00B33E5F"/>
    <w:rsid w:val="00B34232"/>
    <w:rsid w:val="00B3686A"/>
    <w:rsid w:val="00B374C2"/>
    <w:rsid w:val="00B37CC8"/>
    <w:rsid w:val="00B4368E"/>
    <w:rsid w:val="00B43A76"/>
    <w:rsid w:val="00B452FE"/>
    <w:rsid w:val="00B4567E"/>
    <w:rsid w:val="00B463DC"/>
    <w:rsid w:val="00B47C41"/>
    <w:rsid w:val="00B47F7F"/>
    <w:rsid w:val="00B52674"/>
    <w:rsid w:val="00B527D3"/>
    <w:rsid w:val="00B52D89"/>
    <w:rsid w:val="00B53060"/>
    <w:rsid w:val="00B538B4"/>
    <w:rsid w:val="00B5537B"/>
    <w:rsid w:val="00B55C1D"/>
    <w:rsid w:val="00B563B1"/>
    <w:rsid w:val="00B56414"/>
    <w:rsid w:val="00B5786C"/>
    <w:rsid w:val="00B61356"/>
    <w:rsid w:val="00B614CE"/>
    <w:rsid w:val="00B633EF"/>
    <w:rsid w:val="00B6386C"/>
    <w:rsid w:val="00B655AC"/>
    <w:rsid w:val="00B7016B"/>
    <w:rsid w:val="00B71B1A"/>
    <w:rsid w:val="00B71EAB"/>
    <w:rsid w:val="00B72C73"/>
    <w:rsid w:val="00B72DB2"/>
    <w:rsid w:val="00B74D07"/>
    <w:rsid w:val="00B765B8"/>
    <w:rsid w:val="00B80012"/>
    <w:rsid w:val="00B8012D"/>
    <w:rsid w:val="00B801B9"/>
    <w:rsid w:val="00B803EA"/>
    <w:rsid w:val="00B817E9"/>
    <w:rsid w:val="00B8259F"/>
    <w:rsid w:val="00B82D91"/>
    <w:rsid w:val="00B83CDE"/>
    <w:rsid w:val="00B84156"/>
    <w:rsid w:val="00B8474C"/>
    <w:rsid w:val="00B8500D"/>
    <w:rsid w:val="00B85491"/>
    <w:rsid w:val="00B8586E"/>
    <w:rsid w:val="00B864B7"/>
    <w:rsid w:val="00B86536"/>
    <w:rsid w:val="00B86E6F"/>
    <w:rsid w:val="00B87A42"/>
    <w:rsid w:val="00B87DB3"/>
    <w:rsid w:val="00B904BD"/>
    <w:rsid w:val="00B915F1"/>
    <w:rsid w:val="00B92BC2"/>
    <w:rsid w:val="00B93CD9"/>
    <w:rsid w:val="00B94092"/>
    <w:rsid w:val="00B952D0"/>
    <w:rsid w:val="00B95C12"/>
    <w:rsid w:val="00B966A8"/>
    <w:rsid w:val="00B9787F"/>
    <w:rsid w:val="00BA202E"/>
    <w:rsid w:val="00BA5CDA"/>
    <w:rsid w:val="00BA6E6E"/>
    <w:rsid w:val="00BB09B6"/>
    <w:rsid w:val="00BB1F15"/>
    <w:rsid w:val="00BB26D5"/>
    <w:rsid w:val="00BB2765"/>
    <w:rsid w:val="00BB2DD8"/>
    <w:rsid w:val="00BB3950"/>
    <w:rsid w:val="00BB4990"/>
    <w:rsid w:val="00BB4D48"/>
    <w:rsid w:val="00BB6889"/>
    <w:rsid w:val="00BB6B20"/>
    <w:rsid w:val="00BB75BA"/>
    <w:rsid w:val="00BB77A1"/>
    <w:rsid w:val="00BC08E2"/>
    <w:rsid w:val="00BC1900"/>
    <w:rsid w:val="00BC19EE"/>
    <w:rsid w:val="00BC2788"/>
    <w:rsid w:val="00BC40F5"/>
    <w:rsid w:val="00BC4DAF"/>
    <w:rsid w:val="00BC5007"/>
    <w:rsid w:val="00BC541D"/>
    <w:rsid w:val="00BC702B"/>
    <w:rsid w:val="00BC7A84"/>
    <w:rsid w:val="00BD04B8"/>
    <w:rsid w:val="00BD10B6"/>
    <w:rsid w:val="00BD1452"/>
    <w:rsid w:val="00BD15E0"/>
    <w:rsid w:val="00BD387B"/>
    <w:rsid w:val="00BD54AA"/>
    <w:rsid w:val="00BD5CB9"/>
    <w:rsid w:val="00BD67E6"/>
    <w:rsid w:val="00BE547B"/>
    <w:rsid w:val="00BE5F5C"/>
    <w:rsid w:val="00BE6B96"/>
    <w:rsid w:val="00BE6D43"/>
    <w:rsid w:val="00BF08ED"/>
    <w:rsid w:val="00BF2495"/>
    <w:rsid w:val="00BF2A16"/>
    <w:rsid w:val="00BF4886"/>
    <w:rsid w:val="00BF4B35"/>
    <w:rsid w:val="00BF64F2"/>
    <w:rsid w:val="00BF75BD"/>
    <w:rsid w:val="00C003DB"/>
    <w:rsid w:val="00C00977"/>
    <w:rsid w:val="00C01A81"/>
    <w:rsid w:val="00C026AB"/>
    <w:rsid w:val="00C041DD"/>
    <w:rsid w:val="00C05B17"/>
    <w:rsid w:val="00C06B8B"/>
    <w:rsid w:val="00C10D03"/>
    <w:rsid w:val="00C13470"/>
    <w:rsid w:val="00C143B1"/>
    <w:rsid w:val="00C14CF9"/>
    <w:rsid w:val="00C1504D"/>
    <w:rsid w:val="00C15867"/>
    <w:rsid w:val="00C15A89"/>
    <w:rsid w:val="00C15FEC"/>
    <w:rsid w:val="00C16537"/>
    <w:rsid w:val="00C16EA5"/>
    <w:rsid w:val="00C17004"/>
    <w:rsid w:val="00C1705C"/>
    <w:rsid w:val="00C1739E"/>
    <w:rsid w:val="00C227B4"/>
    <w:rsid w:val="00C22919"/>
    <w:rsid w:val="00C231AA"/>
    <w:rsid w:val="00C231DC"/>
    <w:rsid w:val="00C240C4"/>
    <w:rsid w:val="00C2506A"/>
    <w:rsid w:val="00C2576E"/>
    <w:rsid w:val="00C3009B"/>
    <w:rsid w:val="00C3017F"/>
    <w:rsid w:val="00C31775"/>
    <w:rsid w:val="00C3290C"/>
    <w:rsid w:val="00C34121"/>
    <w:rsid w:val="00C35B76"/>
    <w:rsid w:val="00C3648D"/>
    <w:rsid w:val="00C4221C"/>
    <w:rsid w:val="00C42A48"/>
    <w:rsid w:val="00C449C1"/>
    <w:rsid w:val="00C44AA5"/>
    <w:rsid w:val="00C44E80"/>
    <w:rsid w:val="00C44FBE"/>
    <w:rsid w:val="00C4511E"/>
    <w:rsid w:val="00C504E7"/>
    <w:rsid w:val="00C528AC"/>
    <w:rsid w:val="00C53613"/>
    <w:rsid w:val="00C54C93"/>
    <w:rsid w:val="00C56217"/>
    <w:rsid w:val="00C56AA9"/>
    <w:rsid w:val="00C605E0"/>
    <w:rsid w:val="00C60921"/>
    <w:rsid w:val="00C610A4"/>
    <w:rsid w:val="00C62BE5"/>
    <w:rsid w:val="00C63B4B"/>
    <w:rsid w:val="00C6449D"/>
    <w:rsid w:val="00C6472D"/>
    <w:rsid w:val="00C66E45"/>
    <w:rsid w:val="00C7068D"/>
    <w:rsid w:val="00C7082A"/>
    <w:rsid w:val="00C71FB2"/>
    <w:rsid w:val="00C72BCC"/>
    <w:rsid w:val="00C72D4B"/>
    <w:rsid w:val="00C741B6"/>
    <w:rsid w:val="00C74928"/>
    <w:rsid w:val="00C75ABA"/>
    <w:rsid w:val="00C771FC"/>
    <w:rsid w:val="00C77807"/>
    <w:rsid w:val="00C81029"/>
    <w:rsid w:val="00C82A29"/>
    <w:rsid w:val="00C8574A"/>
    <w:rsid w:val="00C8646E"/>
    <w:rsid w:val="00C8686B"/>
    <w:rsid w:val="00C904D4"/>
    <w:rsid w:val="00C90B5C"/>
    <w:rsid w:val="00C90FA8"/>
    <w:rsid w:val="00C913A0"/>
    <w:rsid w:val="00C91A5C"/>
    <w:rsid w:val="00C92503"/>
    <w:rsid w:val="00C926B1"/>
    <w:rsid w:val="00C92CBA"/>
    <w:rsid w:val="00C9304F"/>
    <w:rsid w:val="00C93B3F"/>
    <w:rsid w:val="00C95DE7"/>
    <w:rsid w:val="00C965E4"/>
    <w:rsid w:val="00C96C1B"/>
    <w:rsid w:val="00C97448"/>
    <w:rsid w:val="00CA0B01"/>
    <w:rsid w:val="00CA0B04"/>
    <w:rsid w:val="00CA1411"/>
    <w:rsid w:val="00CA2DE5"/>
    <w:rsid w:val="00CA2F53"/>
    <w:rsid w:val="00CA4685"/>
    <w:rsid w:val="00CA4ED1"/>
    <w:rsid w:val="00CA7E73"/>
    <w:rsid w:val="00CB0F5C"/>
    <w:rsid w:val="00CB1606"/>
    <w:rsid w:val="00CB334E"/>
    <w:rsid w:val="00CB3B2E"/>
    <w:rsid w:val="00CB4B9E"/>
    <w:rsid w:val="00CB4F81"/>
    <w:rsid w:val="00CB55D4"/>
    <w:rsid w:val="00CB5C0F"/>
    <w:rsid w:val="00CB693C"/>
    <w:rsid w:val="00CB6B63"/>
    <w:rsid w:val="00CC006F"/>
    <w:rsid w:val="00CC1EE8"/>
    <w:rsid w:val="00CC2C89"/>
    <w:rsid w:val="00CC4BB4"/>
    <w:rsid w:val="00CC6032"/>
    <w:rsid w:val="00CC70E7"/>
    <w:rsid w:val="00CD0935"/>
    <w:rsid w:val="00CD16FB"/>
    <w:rsid w:val="00CD1980"/>
    <w:rsid w:val="00CD3973"/>
    <w:rsid w:val="00CD4CE9"/>
    <w:rsid w:val="00CE11F9"/>
    <w:rsid w:val="00CE1A87"/>
    <w:rsid w:val="00CE47E9"/>
    <w:rsid w:val="00CE4BD2"/>
    <w:rsid w:val="00CE6D37"/>
    <w:rsid w:val="00CF00A2"/>
    <w:rsid w:val="00CF0120"/>
    <w:rsid w:val="00CF0A21"/>
    <w:rsid w:val="00CF246D"/>
    <w:rsid w:val="00CF29F4"/>
    <w:rsid w:val="00CF5DF4"/>
    <w:rsid w:val="00CF6409"/>
    <w:rsid w:val="00CF64FE"/>
    <w:rsid w:val="00D0088A"/>
    <w:rsid w:val="00D0175E"/>
    <w:rsid w:val="00D01910"/>
    <w:rsid w:val="00D01DFA"/>
    <w:rsid w:val="00D03298"/>
    <w:rsid w:val="00D033FF"/>
    <w:rsid w:val="00D06CE8"/>
    <w:rsid w:val="00D10775"/>
    <w:rsid w:val="00D1331A"/>
    <w:rsid w:val="00D13AA7"/>
    <w:rsid w:val="00D14A69"/>
    <w:rsid w:val="00D21233"/>
    <w:rsid w:val="00D23619"/>
    <w:rsid w:val="00D24B8E"/>
    <w:rsid w:val="00D25F70"/>
    <w:rsid w:val="00D262FA"/>
    <w:rsid w:val="00D26D72"/>
    <w:rsid w:val="00D26E9F"/>
    <w:rsid w:val="00D26EA6"/>
    <w:rsid w:val="00D27976"/>
    <w:rsid w:val="00D3039C"/>
    <w:rsid w:val="00D31007"/>
    <w:rsid w:val="00D32CC9"/>
    <w:rsid w:val="00D3570A"/>
    <w:rsid w:val="00D37BFC"/>
    <w:rsid w:val="00D424CA"/>
    <w:rsid w:val="00D42E0A"/>
    <w:rsid w:val="00D444F1"/>
    <w:rsid w:val="00D45154"/>
    <w:rsid w:val="00D4554D"/>
    <w:rsid w:val="00D500EF"/>
    <w:rsid w:val="00D5089A"/>
    <w:rsid w:val="00D50C13"/>
    <w:rsid w:val="00D5221F"/>
    <w:rsid w:val="00D5259D"/>
    <w:rsid w:val="00D52E3B"/>
    <w:rsid w:val="00D53099"/>
    <w:rsid w:val="00D53384"/>
    <w:rsid w:val="00D543EC"/>
    <w:rsid w:val="00D54BC3"/>
    <w:rsid w:val="00D559FB"/>
    <w:rsid w:val="00D61F79"/>
    <w:rsid w:val="00D633E0"/>
    <w:rsid w:val="00D63F7D"/>
    <w:rsid w:val="00D642D0"/>
    <w:rsid w:val="00D66434"/>
    <w:rsid w:val="00D665C9"/>
    <w:rsid w:val="00D725A3"/>
    <w:rsid w:val="00D73048"/>
    <w:rsid w:val="00D736CF"/>
    <w:rsid w:val="00D74868"/>
    <w:rsid w:val="00D7557F"/>
    <w:rsid w:val="00D760C5"/>
    <w:rsid w:val="00D7617C"/>
    <w:rsid w:val="00D77827"/>
    <w:rsid w:val="00D807FA"/>
    <w:rsid w:val="00D819E7"/>
    <w:rsid w:val="00D8226C"/>
    <w:rsid w:val="00D83473"/>
    <w:rsid w:val="00D83C24"/>
    <w:rsid w:val="00D85B56"/>
    <w:rsid w:val="00D86CE1"/>
    <w:rsid w:val="00D87FD2"/>
    <w:rsid w:val="00D90872"/>
    <w:rsid w:val="00D91F25"/>
    <w:rsid w:val="00D92C5F"/>
    <w:rsid w:val="00D93EE9"/>
    <w:rsid w:val="00D94CD3"/>
    <w:rsid w:val="00D94FA8"/>
    <w:rsid w:val="00D95A44"/>
    <w:rsid w:val="00D95FC2"/>
    <w:rsid w:val="00D96018"/>
    <w:rsid w:val="00D96690"/>
    <w:rsid w:val="00D975B6"/>
    <w:rsid w:val="00DA0288"/>
    <w:rsid w:val="00DA02DB"/>
    <w:rsid w:val="00DA1881"/>
    <w:rsid w:val="00DA3B0F"/>
    <w:rsid w:val="00DA5C3D"/>
    <w:rsid w:val="00DA6532"/>
    <w:rsid w:val="00DB01CD"/>
    <w:rsid w:val="00DB11B8"/>
    <w:rsid w:val="00DB4396"/>
    <w:rsid w:val="00DB44C2"/>
    <w:rsid w:val="00DB4B69"/>
    <w:rsid w:val="00DB4B8B"/>
    <w:rsid w:val="00DB5D5E"/>
    <w:rsid w:val="00DB6694"/>
    <w:rsid w:val="00DB74AA"/>
    <w:rsid w:val="00DB78A7"/>
    <w:rsid w:val="00DC0592"/>
    <w:rsid w:val="00DC2E1A"/>
    <w:rsid w:val="00DC35F0"/>
    <w:rsid w:val="00DC6398"/>
    <w:rsid w:val="00DC688D"/>
    <w:rsid w:val="00DC7F22"/>
    <w:rsid w:val="00DD004D"/>
    <w:rsid w:val="00DD05AB"/>
    <w:rsid w:val="00DD0904"/>
    <w:rsid w:val="00DD1432"/>
    <w:rsid w:val="00DD2B6A"/>
    <w:rsid w:val="00DD2FB2"/>
    <w:rsid w:val="00DD5ED1"/>
    <w:rsid w:val="00DE123B"/>
    <w:rsid w:val="00DE1C60"/>
    <w:rsid w:val="00DE2B06"/>
    <w:rsid w:val="00DE2F6C"/>
    <w:rsid w:val="00DE4931"/>
    <w:rsid w:val="00DE61A2"/>
    <w:rsid w:val="00DE7068"/>
    <w:rsid w:val="00DE7B97"/>
    <w:rsid w:val="00DE7D5D"/>
    <w:rsid w:val="00DF7F4A"/>
    <w:rsid w:val="00E00E6A"/>
    <w:rsid w:val="00E0139B"/>
    <w:rsid w:val="00E01722"/>
    <w:rsid w:val="00E01F42"/>
    <w:rsid w:val="00E028BF"/>
    <w:rsid w:val="00E02B93"/>
    <w:rsid w:val="00E03434"/>
    <w:rsid w:val="00E04037"/>
    <w:rsid w:val="00E04A08"/>
    <w:rsid w:val="00E04CD6"/>
    <w:rsid w:val="00E05A08"/>
    <w:rsid w:val="00E05CFD"/>
    <w:rsid w:val="00E07915"/>
    <w:rsid w:val="00E07966"/>
    <w:rsid w:val="00E13351"/>
    <w:rsid w:val="00E214D5"/>
    <w:rsid w:val="00E2151F"/>
    <w:rsid w:val="00E2192E"/>
    <w:rsid w:val="00E21DC3"/>
    <w:rsid w:val="00E23382"/>
    <w:rsid w:val="00E233F2"/>
    <w:rsid w:val="00E24F96"/>
    <w:rsid w:val="00E253FF"/>
    <w:rsid w:val="00E25427"/>
    <w:rsid w:val="00E2599D"/>
    <w:rsid w:val="00E26C07"/>
    <w:rsid w:val="00E313BE"/>
    <w:rsid w:val="00E313C1"/>
    <w:rsid w:val="00E34288"/>
    <w:rsid w:val="00E34F9A"/>
    <w:rsid w:val="00E350A9"/>
    <w:rsid w:val="00E35EEC"/>
    <w:rsid w:val="00E373E2"/>
    <w:rsid w:val="00E37A99"/>
    <w:rsid w:val="00E4004B"/>
    <w:rsid w:val="00E4081F"/>
    <w:rsid w:val="00E4187C"/>
    <w:rsid w:val="00E43EB3"/>
    <w:rsid w:val="00E43FCD"/>
    <w:rsid w:val="00E4431E"/>
    <w:rsid w:val="00E44426"/>
    <w:rsid w:val="00E444D2"/>
    <w:rsid w:val="00E4529F"/>
    <w:rsid w:val="00E45E53"/>
    <w:rsid w:val="00E462AA"/>
    <w:rsid w:val="00E46B63"/>
    <w:rsid w:val="00E50265"/>
    <w:rsid w:val="00E50728"/>
    <w:rsid w:val="00E517C2"/>
    <w:rsid w:val="00E51BBC"/>
    <w:rsid w:val="00E51CD7"/>
    <w:rsid w:val="00E545A8"/>
    <w:rsid w:val="00E565E8"/>
    <w:rsid w:val="00E56C2F"/>
    <w:rsid w:val="00E5776C"/>
    <w:rsid w:val="00E619F6"/>
    <w:rsid w:val="00E61D64"/>
    <w:rsid w:val="00E646B8"/>
    <w:rsid w:val="00E64F2E"/>
    <w:rsid w:val="00E654F6"/>
    <w:rsid w:val="00E66B72"/>
    <w:rsid w:val="00E676C1"/>
    <w:rsid w:val="00E7118B"/>
    <w:rsid w:val="00E74716"/>
    <w:rsid w:val="00E74AE7"/>
    <w:rsid w:val="00E756A2"/>
    <w:rsid w:val="00E75A6A"/>
    <w:rsid w:val="00E7620A"/>
    <w:rsid w:val="00E801C8"/>
    <w:rsid w:val="00E8099B"/>
    <w:rsid w:val="00E80E76"/>
    <w:rsid w:val="00E8245E"/>
    <w:rsid w:val="00E83500"/>
    <w:rsid w:val="00E83BB6"/>
    <w:rsid w:val="00E83F55"/>
    <w:rsid w:val="00E85258"/>
    <w:rsid w:val="00E8630B"/>
    <w:rsid w:val="00E871FF"/>
    <w:rsid w:val="00E87DCA"/>
    <w:rsid w:val="00E900B3"/>
    <w:rsid w:val="00E90B63"/>
    <w:rsid w:val="00E9165D"/>
    <w:rsid w:val="00E9541D"/>
    <w:rsid w:val="00E95FBA"/>
    <w:rsid w:val="00E96DA8"/>
    <w:rsid w:val="00E96E63"/>
    <w:rsid w:val="00E97758"/>
    <w:rsid w:val="00EA0AEC"/>
    <w:rsid w:val="00EA3EED"/>
    <w:rsid w:val="00EA40E2"/>
    <w:rsid w:val="00EA6F13"/>
    <w:rsid w:val="00EB2174"/>
    <w:rsid w:val="00EB3394"/>
    <w:rsid w:val="00EB6152"/>
    <w:rsid w:val="00EB6894"/>
    <w:rsid w:val="00EC068A"/>
    <w:rsid w:val="00EC0A05"/>
    <w:rsid w:val="00EC24D8"/>
    <w:rsid w:val="00EC2E10"/>
    <w:rsid w:val="00EC30AF"/>
    <w:rsid w:val="00EC42E6"/>
    <w:rsid w:val="00EC5CD9"/>
    <w:rsid w:val="00EC5EFF"/>
    <w:rsid w:val="00EC6FB0"/>
    <w:rsid w:val="00ED6C68"/>
    <w:rsid w:val="00EE2594"/>
    <w:rsid w:val="00EE28A6"/>
    <w:rsid w:val="00EE28FE"/>
    <w:rsid w:val="00EE60F2"/>
    <w:rsid w:val="00EE6875"/>
    <w:rsid w:val="00EE68C2"/>
    <w:rsid w:val="00EE6C20"/>
    <w:rsid w:val="00EE75D1"/>
    <w:rsid w:val="00EE7E28"/>
    <w:rsid w:val="00EF0B88"/>
    <w:rsid w:val="00EF1098"/>
    <w:rsid w:val="00EF1539"/>
    <w:rsid w:val="00EF16D3"/>
    <w:rsid w:val="00EF3552"/>
    <w:rsid w:val="00EF3FA8"/>
    <w:rsid w:val="00EF54BD"/>
    <w:rsid w:val="00EF6C69"/>
    <w:rsid w:val="00EF6D9C"/>
    <w:rsid w:val="00F0111C"/>
    <w:rsid w:val="00F02072"/>
    <w:rsid w:val="00F02180"/>
    <w:rsid w:val="00F045CE"/>
    <w:rsid w:val="00F061E6"/>
    <w:rsid w:val="00F06920"/>
    <w:rsid w:val="00F06FC6"/>
    <w:rsid w:val="00F076C7"/>
    <w:rsid w:val="00F077E7"/>
    <w:rsid w:val="00F1377B"/>
    <w:rsid w:val="00F14772"/>
    <w:rsid w:val="00F14D42"/>
    <w:rsid w:val="00F166D3"/>
    <w:rsid w:val="00F167E6"/>
    <w:rsid w:val="00F1692D"/>
    <w:rsid w:val="00F16C4B"/>
    <w:rsid w:val="00F1764E"/>
    <w:rsid w:val="00F2091E"/>
    <w:rsid w:val="00F20ACC"/>
    <w:rsid w:val="00F20B6C"/>
    <w:rsid w:val="00F21C73"/>
    <w:rsid w:val="00F22B3F"/>
    <w:rsid w:val="00F24356"/>
    <w:rsid w:val="00F24566"/>
    <w:rsid w:val="00F24D46"/>
    <w:rsid w:val="00F30EBC"/>
    <w:rsid w:val="00F31B6E"/>
    <w:rsid w:val="00F324FE"/>
    <w:rsid w:val="00F329D4"/>
    <w:rsid w:val="00F34974"/>
    <w:rsid w:val="00F34D9A"/>
    <w:rsid w:val="00F3572E"/>
    <w:rsid w:val="00F35E69"/>
    <w:rsid w:val="00F36E7E"/>
    <w:rsid w:val="00F41345"/>
    <w:rsid w:val="00F4367A"/>
    <w:rsid w:val="00F44486"/>
    <w:rsid w:val="00F449CB"/>
    <w:rsid w:val="00F4559D"/>
    <w:rsid w:val="00F45D14"/>
    <w:rsid w:val="00F462F8"/>
    <w:rsid w:val="00F46356"/>
    <w:rsid w:val="00F4674C"/>
    <w:rsid w:val="00F4694E"/>
    <w:rsid w:val="00F46CB7"/>
    <w:rsid w:val="00F47D2B"/>
    <w:rsid w:val="00F502C4"/>
    <w:rsid w:val="00F50A73"/>
    <w:rsid w:val="00F53CE2"/>
    <w:rsid w:val="00F54FA6"/>
    <w:rsid w:val="00F55851"/>
    <w:rsid w:val="00F573C2"/>
    <w:rsid w:val="00F57995"/>
    <w:rsid w:val="00F6001D"/>
    <w:rsid w:val="00F60D12"/>
    <w:rsid w:val="00F6139F"/>
    <w:rsid w:val="00F616AD"/>
    <w:rsid w:val="00F6224D"/>
    <w:rsid w:val="00F636F4"/>
    <w:rsid w:val="00F63D92"/>
    <w:rsid w:val="00F63FBF"/>
    <w:rsid w:val="00F641DA"/>
    <w:rsid w:val="00F645ED"/>
    <w:rsid w:val="00F654C3"/>
    <w:rsid w:val="00F71927"/>
    <w:rsid w:val="00F71A57"/>
    <w:rsid w:val="00F724B1"/>
    <w:rsid w:val="00F7298C"/>
    <w:rsid w:val="00F72C41"/>
    <w:rsid w:val="00F73476"/>
    <w:rsid w:val="00F735F9"/>
    <w:rsid w:val="00F74748"/>
    <w:rsid w:val="00F75598"/>
    <w:rsid w:val="00F75E30"/>
    <w:rsid w:val="00F76B61"/>
    <w:rsid w:val="00F76C85"/>
    <w:rsid w:val="00F77EA0"/>
    <w:rsid w:val="00F80B77"/>
    <w:rsid w:val="00F80E37"/>
    <w:rsid w:val="00F81193"/>
    <w:rsid w:val="00F816C2"/>
    <w:rsid w:val="00F81BB5"/>
    <w:rsid w:val="00F84748"/>
    <w:rsid w:val="00F9010E"/>
    <w:rsid w:val="00F9093C"/>
    <w:rsid w:val="00F91BFB"/>
    <w:rsid w:val="00F91D22"/>
    <w:rsid w:val="00F91E06"/>
    <w:rsid w:val="00F966A4"/>
    <w:rsid w:val="00F96D5D"/>
    <w:rsid w:val="00FA00E2"/>
    <w:rsid w:val="00FA015C"/>
    <w:rsid w:val="00FA0BC7"/>
    <w:rsid w:val="00FA0EDA"/>
    <w:rsid w:val="00FA2CFF"/>
    <w:rsid w:val="00FA2FF9"/>
    <w:rsid w:val="00FA43E6"/>
    <w:rsid w:val="00FA525D"/>
    <w:rsid w:val="00FA5ABC"/>
    <w:rsid w:val="00FB09EC"/>
    <w:rsid w:val="00FB14CD"/>
    <w:rsid w:val="00FB18F7"/>
    <w:rsid w:val="00FB642C"/>
    <w:rsid w:val="00FB76C6"/>
    <w:rsid w:val="00FB7889"/>
    <w:rsid w:val="00FB7A1B"/>
    <w:rsid w:val="00FC03CE"/>
    <w:rsid w:val="00FC35F9"/>
    <w:rsid w:val="00FC3A80"/>
    <w:rsid w:val="00FC3C3C"/>
    <w:rsid w:val="00FC40DC"/>
    <w:rsid w:val="00FC435E"/>
    <w:rsid w:val="00FC555E"/>
    <w:rsid w:val="00FD0B1D"/>
    <w:rsid w:val="00FD1C08"/>
    <w:rsid w:val="00FD2457"/>
    <w:rsid w:val="00FD359F"/>
    <w:rsid w:val="00FD4A6F"/>
    <w:rsid w:val="00FD5D6C"/>
    <w:rsid w:val="00FE2B0D"/>
    <w:rsid w:val="00FE43EB"/>
    <w:rsid w:val="00FE5E1E"/>
    <w:rsid w:val="00FE6851"/>
    <w:rsid w:val="00FE6922"/>
    <w:rsid w:val="00FE6AC6"/>
    <w:rsid w:val="00FF2493"/>
    <w:rsid w:val="00FF318F"/>
    <w:rsid w:val="00FF4484"/>
    <w:rsid w:val="00FF56EE"/>
    <w:rsid w:val="00FF64EC"/>
    <w:rsid w:val="00FF6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503"/>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rsid w:val="0051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001D"/>
    <w:pPr>
      <w:spacing w:after="120" w:line="480" w:lineRule="auto"/>
    </w:pPr>
    <w:rPr>
      <w:sz w:val="22"/>
    </w:rPr>
  </w:style>
  <w:style w:type="paragraph" w:customStyle="1" w:styleId="StyleBodyTextBoldItalicBlue">
    <w:name w:val="Style Body Text + Bold Italic Blue"/>
    <w:basedOn w:val="Normal"/>
    <w:link w:val="StyleBodyTextBoldItalicBlueChar"/>
    <w:rsid w:val="0029333C"/>
    <w:pPr>
      <w:widowControl w:val="0"/>
      <w:spacing w:line="240" w:lineRule="atLeast"/>
    </w:pPr>
    <w:rPr>
      <w:rFonts w:eastAsia="Times"/>
      <w:b/>
      <w:bCs/>
      <w:i/>
      <w:iCs/>
      <w:color w:val="0000FF"/>
      <w:sz w:val="20"/>
      <w:szCs w:val="20"/>
      <w:lang w:eastAsia="en-GB"/>
    </w:rPr>
  </w:style>
  <w:style w:type="character" w:customStyle="1" w:styleId="StyleBodyTextBoldItalicBlueChar">
    <w:name w:val="Style Body Text + Bold Italic Blue Char"/>
    <w:link w:val="StyleBodyTextBoldItalicBlue"/>
    <w:rsid w:val="0029333C"/>
    <w:rPr>
      <w:rFonts w:ascii="Arial" w:eastAsia="Times" w:hAnsi="Arial"/>
      <w:b/>
      <w:bCs/>
      <w:i/>
      <w:iCs/>
      <w:color w:val="0000FF"/>
      <w:lang w:val="en-GB" w:eastAsia="en-GB" w:bidi="ar-SA"/>
    </w:rPr>
  </w:style>
  <w:style w:type="paragraph" w:customStyle="1" w:styleId="arial">
    <w:name w:val="arial"/>
    <w:aliases w:val="12"/>
    <w:basedOn w:val="Normal"/>
    <w:rsid w:val="00A82382"/>
    <w:rPr>
      <w:rFonts w:ascii="Calibri" w:hAnsi="Calibri"/>
      <w:sz w:val="20"/>
      <w:szCs w:val="20"/>
    </w:rPr>
  </w:style>
  <w:style w:type="paragraph" w:styleId="FootnoteText">
    <w:name w:val="footnote text"/>
    <w:basedOn w:val="Normal"/>
    <w:semiHidden/>
    <w:rsid w:val="00A82382"/>
    <w:rPr>
      <w:sz w:val="20"/>
      <w:szCs w:val="20"/>
    </w:rPr>
  </w:style>
  <w:style w:type="character" w:styleId="FootnoteReference">
    <w:name w:val="footnote reference"/>
    <w:uiPriority w:val="99"/>
    <w:semiHidden/>
    <w:rsid w:val="00A82382"/>
    <w:rPr>
      <w:vertAlign w:val="superscript"/>
    </w:rPr>
  </w:style>
  <w:style w:type="paragraph" w:styleId="BodyTextIndent">
    <w:name w:val="Body Text Indent"/>
    <w:basedOn w:val="Normal"/>
    <w:rsid w:val="00227495"/>
    <w:pPr>
      <w:spacing w:after="120"/>
      <w:ind w:left="283"/>
    </w:pPr>
  </w:style>
  <w:style w:type="paragraph" w:customStyle="1" w:styleId="Default">
    <w:name w:val="Default"/>
    <w:rsid w:val="007C30F5"/>
    <w:pPr>
      <w:autoSpaceDE w:val="0"/>
      <w:autoSpaceDN w:val="0"/>
      <w:adjustRightInd w:val="0"/>
    </w:pPr>
    <w:rPr>
      <w:rFonts w:ascii="Arial" w:hAnsi="Arial" w:cs="Arial"/>
      <w:color w:val="000000"/>
      <w:sz w:val="24"/>
      <w:szCs w:val="24"/>
      <w:lang w:val="en-US" w:eastAsia="en-US"/>
    </w:rPr>
  </w:style>
  <w:style w:type="paragraph" w:customStyle="1" w:styleId="Pa12">
    <w:name w:val="Pa12"/>
    <w:basedOn w:val="Default"/>
    <w:next w:val="Default"/>
    <w:rsid w:val="00B6386C"/>
    <w:pPr>
      <w:spacing w:line="221" w:lineRule="atLeast"/>
    </w:pPr>
    <w:rPr>
      <w:rFonts w:ascii="FS Me" w:hAnsi="FS Me" w:cs="Times New Roman"/>
      <w:color w:val="auto"/>
      <w:lang w:val="en-GB" w:eastAsia="en-GB"/>
    </w:rPr>
  </w:style>
  <w:style w:type="character" w:customStyle="1" w:styleId="A5">
    <w:name w:val="A5"/>
    <w:rsid w:val="00B6386C"/>
    <w:rPr>
      <w:rFonts w:cs="FS Me"/>
      <w:color w:val="000000"/>
      <w:sz w:val="22"/>
      <w:szCs w:val="22"/>
    </w:rPr>
  </w:style>
  <w:style w:type="character" w:styleId="Emphasis">
    <w:name w:val="Emphasis"/>
    <w:qFormat/>
    <w:rsid w:val="00641E2E"/>
    <w:rPr>
      <w:i/>
      <w:iCs/>
    </w:rPr>
  </w:style>
  <w:style w:type="table" w:customStyle="1" w:styleId="TableGrid1">
    <w:name w:val="Table Grid1"/>
    <w:basedOn w:val="TableNormal"/>
    <w:next w:val="TableGrid"/>
    <w:uiPriority w:val="59"/>
    <w:rsid w:val="008163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D14"/>
    <w:pPr>
      <w:numPr>
        <w:numId w:val="32"/>
      </w:numPr>
      <w:ind w:left="360"/>
    </w:pPr>
  </w:style>
  <w:style w:type="paragraph" w:styleId="BodyText">
    <w:name w:val="Body Text"/>
    <w:basedOn w:val="Normal"/>
    <w:link w:val="BodyTextChar"/>
    <w:rsid w:val="00200E6E"/>
    <w:pPr>
      <w:spacing w:after="120"/>
    </w:pPr>
  </w:style>
  <w:style w:type="character" w:customStyle="1" w:styleId="BodyTextChar">
    <w:name w:val="Body Text Char"/>
    <w:link w:val="BodyText"/>
    <w:rsid w:val="00200E6E"/>
    <w:rPr>
      <w:rFonts w:ascii="Arial" w:hAnsi="Arial"/>
      <w:sz w:val="24"/>
      <w:szCs w:val="24"/>
      <w:lang w:eastAsia="en-US"/>
    </w:rPr>
  </w:style>
  <w:style w:type="paragraph" w:customStyle="1" w:styleId="CharChar1CharCharCharCharCharCharChar">
    <w:name w:val="Char Char1 Char Char Char Char Char Char Char"/>
    <w:basedOn w:val="Normal"/>
    <w:rsid w:val="00FA525D"/>
    <w:pPr>
      <w:spacing w:after="160" w:line="240" w:lineRule="exact"/>
    </w:pPr>
    <w:rPr>
      <w:rFonts w:ascii="Verdana" w:hAnsi="Verdana"/>
      <w:lang w:val="en-US"/>
    </w:rPr>
  </w:style>
  <w:style w:type="paragraph" w:styleId="NoSpacing">
    <w:name w:val="No Spacing"/>
    <w:qFormat/>
    <w:rsid w:val="00CF0A21"/>
    <w:rPr>
      <w:rFonts w:ascii="Cambria" w:eastAsia="Cambria" w:hAnsi="Cambria" w:cs="Cambria"/>
      <w:color w:val="000000"/>
      <w:sz w:val="22"/>
      <w:szCs w:val="22"/>
      <w:u w:color="000000"/>
      <w:lang w:val="en-US"/>
    </w:rPr>
  </w:style>
  <w:style w:type="paragraph" w:customStyle="1" w:styleId="Level2">
    <w:name w:val="Level 2"/>
    <w:basedOn w:val="Heading2"/>
    <w:rsid w:val="00D94CD3"/>
    <w:pPr>
      <w:keepLines/>
      <w:numPr>
        <w:ilvl w:val="1"/>
        <w:numId w:val="9"/>
      </w:numPr>
      <w:spacing w:before="200" w:after="200" w:line="300" w:lineRule="exact"/>
    </w:pPr>
    <w:rPr>
      <w:b w:val="0"/>
      <w:bCs w:val="0"/>
      <w:color w:val="323232"/>
      <w:sz w:val="22"/>
      <w:szCs w:val="28"/>
      <w:u w:val="none"/>
    </w:rPr>
  </w:style>
  <w:style w:type="paragraph" w:customStyle="1" w:styleId="Level1">
    <w:name w:val="Level 1"/>
    <w:basedOn w:val="Heading1"/>
    <w:next w:val="Level2"/>
    <w:rsid w:val="00D94CD3"/>
    <w:pPr>
      <w:numPr>
        <w:numId w:val="9"/>
      </w:numPr>
      <w:suppressAutoHyphens/>
      <w:spacing w:before="400" w:line="300" w:lineRule="exact"/>
      <w:jc w:val="both"/>
    </w:pPr>
    <w:rPr>
      <w:b w:val="0"/>
      <w:bCs w:val="0"/>
      <w:color w:val="0074E1"/>
      <w:kern w:val="32"/>
      <w:sz w:val="30"/>
      <w:szCs w:val="32"/>
      <w:lang w:val="x-none"/>
    </w:rPr>
  </w:style>
  <w:style w:type="paragraph" w:customStyle="1" w:styleId="Style1">
    <w:name w:val="Style1"/>
    <w:basedOn w:val="Level2"/>
    <w:next w:val="ListNumber"/>
    <w:link w:val="Style1Char"/>
    <w:qFormat/>
    <w:rsid w:val="00687C99"/>
    <w:pPr>
      <w:numPr>
        <w:ilvl w:val="0"/>
        <w:numId w:val="30"/>
      </w:numPr>
      <w:ind w:left="360"/>
      <w:jc w:val="both"/>
    </w:pPr>
    <w:rPr>
      <w:sz w:val="24"/>
    </w:rPr>
  </w:style>
  <w:style w:type="character" w:customStyle="1" w:styleId="Style1Char">
    <w:name w:val="Style1 Char"/>
    <w:link w:val="Style1"/>
    <w:rsid w:val="00687C99"/>
    <w:rPr>
      <w:rFonts w:ascii="Arial" w:hAnsi="Arial"/>
      <w:color w:val="323232"/>
      <w:sz w:val="24"/>
      <w:szCs w:val="28"/>
      <w:lang w:eastAsia="en-US"/>
    </w:rPr>
  </w:style>
  <w:style w:type="paragraph" w:customStyle="1" w:styleId="Style4">
    <w:name w:val="Style4"/>
    <w:basedOn w:val="Normal"/>
    <w:link w:val="Style4Char"/>
    <w:qFormat/>
    <w:rsid w:val="00030F4B"/>
    <w:pPr>
      <w:numPr>
        <w:numId w:val="10"/>
      </w:numPr>
      <w:spacing w:before="120" w:after="240" w:line="300" w:lineRule="exact"/>
      <w:ind w:left="1145" w:hanging="425"/>
      <w:jc w:val="both"/>
    </w:pPr>
    <w:rPr>
      <w:szCs w:val="28"/>
    </w:rPr>
  </w:style>
  <w:style w:type="character" w:customStyle="1" w:styleId="Style4Char">
    <w:name w:val="Style4 Char"/>
    <w:link w:val="Style4"/>
    <w:rsid w:val="00030F4B"/>
    <w:rPr>
      <w:rFonts w:ascii="Arial" w:hAnsi="Arial"/>
      <w:sz w:val="24"/>
      <w:szCs w:val="28"/>
      <w:lang w:eastAsia="en-US"/>
    </w:rPr>
  </w:style>
  <w:style w:type="character" w:styleId="Strong">
    <w:name w:val="Strong"/>
    <w:basedOn w:val="DefaultParagraphFont"/>
    <w:qFormat/>
    <w:rsid w:val="00F45D14"/>
    <w:rPr>
      <w:b/>
      <w:bCs/>
    </w:rPr>
  </w:style>
  <w:style w:type="paragraph" w:styleId="ListNumber">
    <w:name w:val="List Number"/>
    <w:basedOn w:val="Normal"/>
    <w:rsid w:val="00F45D14"/>
    <w:pPr>
      <w:numPr>
        <w:numId w:val="31"/>
      </w:numPr>
      <w:contextualSpacing/>
    </w:pPr>
  </w:style>
  <w:style w:type="character" w:customStyle="1" w:styleId="Firstpagetablebold">
    <w:name w:val="First page table: bold"/>
    <w:qFormat/>
    <w:rsid w:val="00940EBF"/>
    <w:rPr>
      <w:rFonts w:ascii="Arial" w:hAnsi="Arial" w:cs="Arial" w:hint="default"/>
      <w:b/>
      <w:b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503"/>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rsid w:val="0051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001D"/>
    <w:pPr>
      <w:spacing w:after="120" w:line="480" w:lineRule="auto"/>
    </w:pPr>
    <w:rPr>
      <w:sz w:val="22"/>
    </w:rPr>
  </w:style>
  <w:style w:type="paragraph" w:customStyle="1" w:styleId="StyleBodyTextBoldItalicBlue">
    <w:name w:val="Style Body Text + Bold Italic Blue"/>
    <w:basedOn w:val="Normal"/>
    <w:link w:val="StyleBodyTextBoldItalicBlueChar"/>
    <w:rsid w:val="0029333C"/>
    <w:pPr>
      <w:widowControl w:val="0"/>
      <w:spacing w:line="240" w:lineRule="atLeast"/>
    </w:pPr>
    <w:rPr>
      <w:rFonts w:eastAsia="Times"/>
      <w:b/>
      <w:bCs/>
      <w:i/>
      <w:iCs/>
      <w:color w:val="0000FF"/>
      <w:sz w:val="20"/>
      <w:szCs w:val="20"/>
      <w:lang w:eastAsia="en-GB"/>
    </w:rPr>
  </w:style>
  <w:style w:type="character" w:customStyle="1" w:styleId="StyleBodyTextBoldItalicBlueChar">
    <w:name w:val="Style Body Text + Bold Italic Blue Char"/>
    <w:link w:val="StyleBodyTextBoldItalicBlue"/>
    <w:rsid w:val="0029333C"/>
    <w:rPr>
      <w:rFonts w:ascii="Arial" w:eastAsia="Times" w:hAnsi="Arial"/>
      <w:b/>
      <w:bCs/>
      <w:i/>
      <w:iCs/>
      <w:color w:val="0000FF"/>
      <w:lang w:val="en-GB" w:eastAsia="en-GB" w:bidi="ar-SA"/>
    </w:rPr>
  </w:style>
  <w:style w:type="paragraph" w:customStyle="1" w:styleId="arial">
    <w:name w:val="arial"/>
    <w:aliases w:val="12"/>
    <w:basedOn w:val="Normal"/>
    <w:rsid w:val="00A82382"/>
    <w:rPr>
      <w:rFonts w:ascii="Calibri" w:hAnsi="Calibri"/>
      <w:sz w:val="20"/>
      <w:szCs w:val="20"/>
    </w:rPr>
  </w:style>
  <w:style w:type="paragraph" w:styleId="FootnoteText">
    <w:name w:val="footnote text"/>
    <w:basedOn w:val="Normal"/>
    <w:semiHidden/>
    <w:rsid w:val="00A82382"/>
    <w:rPr>
      <w:sz w:val="20"/>
      <w:szCs w:val="20"/>
    </w:rPr>
  </w:style>
  <w:style w:type="character" w:styleId="FootnoteReference">
    <w:name w:val="footnote reference"/>
    <w:uiPriority w:val="99"/>
    <w:semiHidden/>
    <w:rsid w:val="00A82382"/>
    <w:rPr>
      <w:vertAlign w:val="superscript"/>
    </w:rPr>
  </w:style>
  <w:style w:type="paragraph" w:styleId="BodyTextIndent">
    <w:name w:val="Body Text Indent"/>
    <w:basedOn w:val="Normal"/>
    <w:rsid w:val="00227495"/>
    <w:pPr>
      <w:spacing w:after="120"/>
      <w:ind w:left="283"/>
    </w:pPr>
  </w:style>
  <w:style w:type="paragraph" w:customStyle="1" w:styleId="Default">
    <w:name w:val="Default"/>
    <w:rsid w:val="007C30F5"/>
    <w:pPr>
      <w:autoSpaceDE w:val="0"/>
      <w:autoSpaceDN w:val="0"/>
      <w:adjustRightInd w:val="0"/>
    </w:pPr>
    <w:rPr>
      <w:rFonts w:ascii="Arial" w:hAnsi="Arial" w:cs="Arial"/>
      <w:color w:val="000000"/>
      <w:sz w:val="24"/>
      <w:szCs w:val="24"/>
      <w:lang w:val="en-US" w:eastAsia="en-US"/>
    </w:rPr>
  </w:style>
  <w:style w:type="paragraph" w:customStyle="1" w:styleId="Pa12">
    <w:name w:val="Pa12"/>
    <w:basedOn w:val="Default"/>
    <w:next w:val="Default"/>
    <w:rsid w:val="00B6386C"/>
    <w:pPr>
      <w:spacing w:line="221" w:lineRule="atLeast"/>
    </w:pPr>
    <w:rPr>
      <w:rFonts w:ascii="FS Me" w:hAnsi="FS Me" w:cs="Times New Roman"/>
      <w:color w:val="auto"/>
      <w:lang w:val="en-GB" w:eastAsia="en-GB"/>
    </w:rPr>
  </w:style>
  <w:style w:type="character" w:customStyle="1" w:styleId="A5">
    <w:name w:val="A5"/>
    <w:rsid w:val="00B6386C"/>
    <w:rPr>
      <w:rFonts w:cs="FS Me"/>
      <w:color w:val="000000"/>
      <w:sz w:val="22"/>
      <w:szCs w:val="22"/>
    </w:rPr>
  </w:style>
  <w:style w:type="character" w:styleId="Emphasis">
    <w:name w:val="Emphasis"/>
    <w:qFormat/>
    <w:rsid w:val="00641E2E"/>
    <w:rPr>
      <w:i/>
      <w:iCs/>
    </w:rPr>
  </w:style>
  <w:style w:type="table" w:customStyle="1" w:styleId="TableGrid1">
    <w:name w:val="Table Grid1"/>
    <w:basedOn w:val="TableNormal"/>
    <w:next w:val="TableGrid"/>
    <w:uiPriority w:val="59"/>
    <w:rsid w:val="008163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D14"/>
    <w:pPr>
      <w:numPr>
        <w:numId w:val="32"/>
      </w:numPr>
      <w:ind w:left="360"/>
    </w:pPr>
  </w:style>
  <w:style w:type="paragraph" w:styleId="BodyText">
    <w:name w:val="Body Text"/>
    <w:basedOn w:val="Normal"/>
    <w:link w:val="BodyTextChar"/>
    <w:rsid w:val="00200E6E"/>
    <w:pPr>
      <w:spacing w:after="120"/>
    </w:pPr>
  </w:style>
  <w:style w:type="character" w:customStyle="1" w:styleId="BodyTextChar">
    <w:name w:val="Body Text Char"/>
    <w:link w:val="BodyText"/>
    <w:rsid w:val="00200E6E"/>
    <w:rPr>
      <w:rFonts w:ascii="Arial" w:hAnsi="Arial"/>
      <w:sz w:val="24"/>
      <w:szCs w:val="24"/>
      <w:lang w:eastAsia="en-US"/>
    </w:rPr>
  </w:style>
  <w:style w:type="paragraph" w:customStyle="1" w:styleId="CharChar1CharCharCharCharCharCharChar">
    <w:name w:val="Char Char1 Char Char Char Char Char Char Char"/>
    <w:basedOn w:val="Normal"/>
    <w:rsid w:val="00FA525D"/>
    <w:pPr>
      <w:spacing w:after="160" w:line="240" w:lineRule="exact"/>
    </w:pPr>
    <w:rPr>
      <w:rFonts w:ascii="Verdana" w:hAnsi="Verdana"/>
      <w:lang w:val="en-US"/>
    </w:rPr>
  </w:style>
  <w:style w:type="paragraph" w:styleId="NoSpacing">
    <w:name w:val="No Spacing"/>
    <w:qFormat/>
    <w:rsid w:val="00CF0A21"/>
    <w:rPr>
      <w:rFonts w:ascii="Cambria" w:eastAsia="Cambria" w:hAnsi="Cambria" w:cs="Cambria"/>
      <w:color w:val="000000"/>
      <w:sz w:val="22"/>
      <w:szCs w:val="22"/>
      <w:u w:color="000000"/>
      <w:lang w:val="en-US"/>
    </w:rPr>
  </w:style>
  <w:style w:type="paragraph" w:customStyle="1" w:styleId="Level2">
    <w:name w:val="Level 2"/>
    <w:basedOn w:val="Heading2"/>
    <w:rsid w:val="00D94CD3"/>
    <w:pPr>
      <w:keepLines/>
      <w:numPr>
        <w:ilvl w:val="1"/>
        <w:numId w:val="9"/>
      </w:numPr>
      <w:spacing w:before="200" w:after="200" w:line="300" w:lineRule="exact"/>
    </w:pPr>
    <w:rPr>
      <w:b w:val="0"/>
      <w:bCs w:val="0"/>
      <w:color w:val="323232"/>
      <w:sz w:val="22"/>
      <w:szCs w:val="28"/>
      <w:u w:val="none"/>
    </w:rPr>
  </w:style>
  <w:style w:type="paragraph" w:customStyle="1" w:styleId="Level1">
    <w:name w:val="Level 1"/>
    <w:basedOn w:val="Heading1"/>
    <w:next w:val="Level2"/>
    <w:rsid w:val="00D94CD3"/>
    <w:pPr>
      <w:numPr>
        <w:numId w:val="9"/>
      </w:numPr>
      <w:suppressAutoHyphens/>
      <w:spacing w:before="400" w:line="300" w:lineRule="exact"/>
      <w:jc w:val="both"/>
    </w:pPr>
    <w:rPr>
      <w:b w:val="0"/>
      <w:bCs w:val="0"/>
      <w:color w:val="0074E1"/>
      <w:kern w:val="32"/>
      <w:sz w:val="30"/>
      <w:szCs w:val="32"/>
      <w:lang w:val="x-none"/>
    </w:rPr>
  </w:style>
  <w:style w:type="paragraph" w:customStyle="1" w:styleId="Style1">
    <w:name w:val="Style1"/>
    <w:basedOn w:val="Level2"/>
    <w:next w:val="ListNumber"/>
    <w:link w:val="Style1Char"/>
    <w:qFormat/>
    <w:rsid w:val="00687C99"/>
    <w:pPr>
      <w:numPr>
        <w:ilvl w:val="0"/>
        <w:numId w:val="30"/>
      </w:numPr>
      <w:ind w:left="360"/>
      <w:jc w:val="both"/>
    </w:pPr>
    <w:rPr>
      <w:sz w:val="24"/>
    </w:rPr>
  </w:style>
  <w:style w:type="character" w:customStyle="1" w:styleId="Style1Char">
    <w:name w:val="Style1 Char"/>
    <w:link w:val="Style1"/>
    <w:rsid w:val="00687C99"/>
    <w:rPr>
      <w:rFonts w:ascii="Arial" w:hAnsi="Arial"/>
      <w:color w:val="323232"/>
      <w:sz w:val="24"/>
      <w:szCs w:val="28"/>
      <w:lang w:eastAsia="en-US"/>
    </w:rPr>
  </w:style>
  <w:style w:type="paragraph" w:customStyle="1" w:styleId="Style4">
    <w:name w:val="Style4"/>
    <w:basedOn w:val="Normal"/>
    <w:link w:val="Style4Char"/>
    <w:qFormat/>
    <w:rsid w:val="00030F4B"/>
    <w:pPr>
      <w:numPr>
        <w:numId w:val="10"/>
      </w:numPr>
      <w:spacing w:before="120" w:after="240" w:line="300" w:lineRule="exact"/>
      <w:ind w:left="1145" w:hanging="425"/>
      <w:jc w:val="both"/>
    </w:pPr>
    <w:rPr>
      <w:szCs w:val="28"/>
    </w:rPr>
  </w:style>
  <w:style w:type="character" w:customStyle="1" w:styleId="Style4Char">
    <w:name w:val="Style4 Char"/>
    <w:link w:val="Style4"/>
    <w:rsid w:val="00030F4B"/>
    <w:rPr>
      <w:rFonts w:ascii="Arial" w:hAnsi="Arial"/>
      <w:sz w:val="24"/>
      <w:szCs w:val="28"/>
      <w:lang w:eastAsia="en-US"/>
    </w:rPr>
  </w:style>
  <w:style w:type="character" w:styleId="Strong">
    <w:name w:val="Strong"/>
    <w:basedOn w:val="DefaultParagraphFont"/>
    <w:qFormat/>
    <w:rsid w:val="00F45D14"/>
    <w:rPr>
      <w:b/>
      <w:bCs/>
    </w:rPr>
  </w:style>
  <w:style w:type="paragraph" w:styleId="ListNumber">
    <w:name w:val="List Number"/>
    <w:basedOn w:val="Normal"/>
    <w:rsid w:val="00F45D14"/>
    <w:pPr>
      <w:numPr>
        <w:numId w:val="31"/>
      </w:numPr>
      <w:contextualSpacing/>
    </w:pPr>
  </w:style>
  <w:style w:type="character" w:customStyle="1" w:styleId="Firstpagetablebold">
    <w:name w:val="First page table: bold"/>
    <w:qFormat/>
    <w:rsid w:val="00940EBF"/>
    <w:rPr>
      <w:rFonts w:ascii="Arial" w:hAnsi="Arial" w:cs="Arial" w:hint="default"/>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1111">
      <w:bodyDiv w:val="1"/>
      <w:marLeft w:val="0"/>
      <w:marRight w:val="0"/>
      <w:marTop w:val="0"/>
      <w:marBottom w:val="0"/>
      <w:divBdr>
        <w:top w:val="none" w:sz="0" w:space="0" w:color="auto"/>
        <w:left w:val="none" w:sz="0" w:space="0" w:color="auto"/>
        <w:bottom w:val="none" w:sz="0" w:space="0" w:color="auto"/>
        <w:right w:val="none" w:sz="0" w:space="0" w:color="auto"/>
      </w:divBdr>
    </w:div>
    <w:div w:id="198512827">
      <w:bodyDiv w:val="1"/>
      <w:marLeft w:val="0"/>
      <w:marRight w:val="0"/>
      <w:marTop w:val="0"/>
      <w:marBottom w:val="0"/>
      <w:divBdr>
        <w:top w:val="none" w:sz="0" w:space="0" w:color="auto"/>
        <w:left w:val="none" w:sz="0" w:space="0" w:color="auto"/>
        <w:bottom w:val="none" w:sz="0" w:space="0" w:color="auto"/>
        <w:right w:val="none" w:sz="0" w:space="0" w:color="auto"/>
      </w:divBdr>
    </w:div>
    <w:div w:id="258683702">
      <w:bodyDiv w:val="1"/>
      <w:marLeft w:val="0"/>
      <w:marRight w:val="0"/>
      <w:marTop w:val="0"/>
      <w:marBottom w:val="0"/>
      <w:divBdr>
        <w:top w:val="none" w:sz="0" w:space="0" w:color="auto"/>
        <w:left w:val="none" w:sz="0" w:space="0" w:color="auto"/>
        <w:bottom w:val="none" w:sz="0" w:space="0" w:color="auto"/>
        <w:right w:val="none" w:sz="0" w:space="0" w:color="auto"/>
      </w:divBdr>
    </w:div>
    <w:div w:id="283082567">
      <w:bodyDiv w:val="1"/>
      <w:marLeft w:val="0"/>
      <w:marRight w:val="0"/>
      <w:marTop w:val="0"/>
      <w:marBottom w:val="0"/>
      <w:divBdr>
        <w:top w:val="none" w:sz="0" w:space="0" w:color="auto"/>
        <w:left w:val="none" w:sz="0" w:space="0" w:color="auto"/>
        <w:bottom w:val="none" w:sz="0" w:space="0" w:color="auto"/>
        <w:right w:val="none" w:sz="0" w:space="0" w:color="auto"/>
      </w:divBdr>
    </w:div>
    <w:div w:id="316306696">
      <w:bodyDiv w:val="1"/>
      <w:marLeft w:val="0"/>
      <w:marRight w:val="0"/>
      <w:marTop w:val="0"/>
      <w:marBottom w:val="0"/>
      <w:divBdr>
        <w:top w:val="none" w:sz="0" w:space="0" w:color="auto"/>
        <w:left w:val="none" w:sz="0" w:space="0" w:color="auto"/>
        <w:bottom w:val="none" w:sz="0" w:space="0" w:color="auto"/>
        <w:right w:val="none" w:sz="0" w:space="0" w:color="auto"/>
      </w:divBdr>
    </w:div>
    <w:div w:id="356082529">
      <w:bodyDiv w:val="1"/>
      <w:marLeft w:val="0"/>
      <w:marRight w:val="0"/>
      <w:marTop w:val="0"/>
      <w:marBottom w:val="0"/>
      <w:divBdr>
        <w:top w:val="none" w:sz="0" w:space="0" w:color="auto"/>
        <w:left w:val="none" w:sz="0" w:space="0" w:color="auto"/>
        <w:bottom w:val="none" w:sz="0" w:space="0" w:color="auto"/>
        <w:right w:val="none" w:sz="0" w:space="0" w:color="auto"/>
      </w:divBdr>
    </w:div>
    <w:div w:id="424767867">
      <w:bodyDiv w:val="1"/>
      <w:marLeft w:val="0"/>
      <w:marRight w:val="0"/>
      <w:marTop w:val="0"/>
      <w:marBottom w:val="0"/>
      <w:divBdr>
        <w:top w:val="none" w:sz="0" w:space="0" w:color="auto"/>
        <w:left w:val="none" w:sz="0" w:space="0" w:color="auto"/>
        <w:bottom w:val="none" w:sz="0" w:space="0" w:color="auto"/>
        <w:right w:val="none" w:sz="0" w:space="0" w:color="auto"/>
      </w:divBdr>
    </w:div>
    <w:div w:id="647634169">
      <w:bodyDiv w:val="1"/>
      <w:marLeft w:val="0"/>
      <w:marRight w:val="0"/>
      <w:marTop w:val="0"/>
      <w:marBottom w:val="0"/>
      <w:divBdr>
        <w:top w:val="none" w:sz="0" w:space="0" w:color="auto"/>
        <w:left w:val="none" w:sz="0" w:space="0" w:color="auto"/>
        <w:bottom w:val="none" w:sz="0" w:space="0" w:color="auto"/>
        <w:right w:val="none" w:sz="0" w:space="0" w:color="auto"/>
      </w:divBdr>
    </w:div>
    <w:div w:id="690642938">
      <w:bodyDiv w:val="1"/>
      <w:marLeft w:val="0"/>
      <w:marRight w:val="0"/>
      <w:marTop w:val="0"/>
      <w:marBottom w:val="0"/>
      <w:divBdr>
        <w:top w:val="none" w:sz="0" w:space="0" w:color="auto"/>
        <w:left w:val="none" w:sz="0" w:space="0" w:color="auto"/>
        <w:bottom w:val="none" w:sz="0" w:space="0" w:color="auto"/>
        <w:right w:val="none" w:sz="0" w:space="0" w:color="auto"/>
      </w:divBdr>
    </w:div>
    <w:div w:id="745686805">
      <w:bodyDiv w:val="1"/>
      <w:marLeft w:val="0"/>
      <w:marRight w:val="0"/>
      <w:marTop w:val="0"/>
      <w:marBottom w:val="0"/>
      <w:divBdr>
        <w:top w:val="none" w:sz="0" w:space="0" w:color="auto"/>
        <w:left w:val="none" w:sz="0" w:space="0" w:color="auto"/>
        <w:bottom w:val="none" w:sz="0" w:space="0" w:color="auto"/>
        <w:right w:val="none" w:sz="0" w:space="0" w:color="auto"/>
      </w:divBdr>
    </w:div>
    <w:div w:id="850069314">
      <w:bodyDiv w:val="1"/>
      <w:marLeft w:val="0"/>
      <w:marRight w:val="0"/>
      <w:marTop w:val="0"/>
      <w:marBottom w:val="0"/>
      <w:divBdr>
        <w:top w:val="none" w:sz="0" w:space="0" w:color="auto"/>
        <w:left w:val="none" w:sz="0" w:space="0" w:color="auto"/>
        <w:bottom w:val="none" w:sz="0" w:space="0" w:color="auto"/>
        <w:right w:val="none" w:sz="0" w:space="0" w:color="auto"/>
      </w:divBdr>
    </w:div>
    <w:div w:id="896207293">
      <w:bodyDiv w:val="1"/>
      <w:marLeft w:val="0"/>
      <w:marRight w:val="0"/>
      <w:marTop w:val="0"/>
      <w:marBottom w:val="0"/>
      <w:divBdr>
        <w:top w:val="none" w:sz="0" w:space="0" w:color="auto"/>
        <w:left w:val="none" w:sz="0" w:space="0" w:color="auto"/>
        <w:bottom w:val="none" w:sz="0" w:space="0" w:color="auto"/>
        <w:right w:val="none" w:sz="0" w:space="0" w:color="auto"/>
      </w:divBdr>
    </w:div>
    <w:div w:id="911889279">
      <w:bodyDiv w:val="1"/>
      <w:marLeft w:val="0"/>
      <w:marRight w:val="0"/>
      <w:marTop w:val="0"/>
      <w:marBottom w:val="0"/>
      <w:divBdr>
        <w:top w:val="none" w:sz="0" w:space="0" w:color="auto"/>
        <w:left w:val="none" w:sz="0" w:space="0" w:color="auto"/>
        <w:bottom w:val="none" w:sz="0" w:space="0" w:color="auto"/>
        <w:right w:val="none" w:sz="0" w:space="0" w:color="auto"/>
      </w:divBdr>
    </w:div>
    <w:div w:id="970599055">
      <w:bodyDiv w:val="1"/>
      <w:marLeft w:val="0"/>
      <w:marRight w:val="0"/>
      <w:marTop w:val="0"/>
      <w:marBottom w:val="0"/>
      <w:divBdr>
        <w:top w:val="none" w:sz="0" w:space="0" w:color="auto"/>
        <w:left w:val="none" w:sz="0" w:space="0" w:color="auto"/>
        <w:bottom w:val="none" w:sz="0" w:space="0" w:color="auto"/>
        <w:right w:val="none" w:sz="0" w:space="0" w:color="auto"/>
      </w:divBdr>
    </w:div>
    <w:div w:id="1073577982">
      <w:bodyDiv w:val="1"/>
      <w:marLeft w:val="0"/>
      <w:marRight w:val="0"/>
      <w:marTop w:val="0"/>
      <w:marBottom w:val="0"/>
      <w:divBdr>
        <w:top w:val="none" w:sz="0" w:space="0" w:color="auto"/>
        <w:left w:val="none" w:sz="0" w:space="0" w:color="auto"/>
        <w:bottom w:val="none" w:sz="0" w:space="0" w:color="auto"/>
        <w:right w:val="none" w:sz="0" w:space="0" w:color="auto"/>
      </w:divBdr>
    </w:div>
    <w:div w:id="1090276021">
      <w:bodyDiv w:val="1"/>
      <w:marLeft w:val="0"/>
      <w:marRight w:val="0"/>
      <w:marTop w:val="0"/>
      <w:marBottom w:val="0"/>
      <w:divBdr>
        <w:top w:val="none" w:sz="0" w:space="0" w:color="auto"/>
        <w:left w:val="none" w:sz="0" w:space="0" w:color="auto"/>
        <w:bottom w:val="none" w:sz="0" w:space="0" w:color="auto"/>
        <w:right w:val="none" w:sz="0" w:space="0" w:color="auto"/>
      </w:divBdr>
    </w:div>
    <w:div w:id="1115247613">
      <w:bodyDiv w:val="1"/>
      <w:marLeft w:val="0"/>
      <w:marRight w:val="0"/>
      <w:marTop w:val="0"/>
      <w:marBottom w:val="0"/>
      <w:divBdr>
        <w:top w:val="none" w:sz="0" w:space="0" w:color="auto"/>
        <w:left w:val="none" w:sz="0" w:space="0" w:color="auto"/>
        <w:bottom w:val="none" w:sz="0" w:space="0" w:color="auto"/>
        <w:right w:val="none" w:sz="0" w:space="0" w:color="auto"/>
      </w:divBdr>
    </w:div>
    <w:div w:id="1229270913">
      <w:bodyDiv w:val="1"/>
      <w:marLeft w:val="0"/>
      <w:marRight w:val="0"/>
      <w:marTop w:val="0"/>
      <w:marBottom w:val="0"/>
      <w:divBdr>
        <w:top w:val="none" w:sz="0" w:space="0" w:color="auto"/>
        <w:left w:val="none" w:sz="0" w:space="0" w:color="auto"/>
        <w:bottom w:val="none" w:sz="0" w:space="0" w:color="auto"/>
        <w:right w:val="none" w:sz="0" w:space="0" w:color="auto"/>
      </w:divBdr>
    </w:div>
    <w:div w:id="1231649532">
      <w:bodyDiv w:val="1"/>
      <w:marLeft w:val="0"/>
      <w:marRight w:val="0"/>
      <w:marTop w:val="0"/>
      <w:marBottom w:val="0"/>
      <w:divBdr>
        <w:top w:val="none" w:sz="0" w:space="0" w:color="auto"/>
        <w:left w:val="none" w:sz="0" w:space="0" w:color="auto"/>
        <w:bottom w:val="none" w:sz="0" w:space="0" w:color="auto"/>
        <w:right w:val="none" w:sz="0" w:space="0" w:color="auto"/>
      </w:divBdr>
    </w:div>
    <w:div w:id="1267428183">
      <w:bodyDiv w:val="1"/>
      <w:marLeft w:val="0"/>
      <w:marRight w:val="0"/>
      <w:marTop w:val="0"/>
      <w:marBottom w:val="0"/>
      <w:divBdr>
        <w:top w:val="none" w:sz="0" w:space="0" w:color="auto"/>
        <w:left w:val="none" w:sz="0" w:space="0" w:color="auto"/>
        <w:bottom w:val="none" w:sz="0" w:space="0" w:color="auto"/>
        <w:right w:val="none" w:sz="0" w:space="0" w:color="auto"/>
      </w:divBdr>
    </w:div>
    <w:div w:id="1294560009">
      <w:bodyDiv w:val="1"/>
      <w:marLeft w:val="0"/>
      <w:marRight w:val="0"/>
      <w:marTop w:val="0"/>
      <w:marBottom w:val="0"/>
      <w:divBdr>
        <w:top w:val="none" w:sz="0" w:space="0" w:color="auto"/>
        <w:left w:val="none" w:sz="0" w:space="0" w:color="auto"/>
        <w:bottom w:val="none" w:sz="0" w:space="0" w:color="auto"/>
        <w:right w:val="none" w:sz="0" w:space="0" w:color="auto"/>
      </w:divBdr>
    </w:div>
    <w:div w:id="1326012403">
      <w:bodyDiv w:val="1"/>
      <w:marLeft w:val="0"/>
      <w:marRight w:val="0"/>
      <w:marTop w:val="0"/>
      <w:marBottom w:val="0"/>
      <w:divBdr>
        <w:top w:val="none" w:sz="0" w:space="0" w:color="auto"/>
        <w:left w:val="none" w:sz="0" w:space="0" w:color="auto"/>
        <w:bottom w:val="none" w:sz="0" w:space="0" w:color="auto"/>
        <w:right w:val="none" w:sz="0" w:space="0" w:color="auto"/>
      </w:divBdr>
    </w:div>
    <w:div w:id="1397244872">
      <w:bodyDiv w:val="1"/>
      <w:marLeft w:val="0"/>
      <w:marRight w:val="0"/>
      <w:marTop w:val="0"/>
      <w:marBottom w:val="0"/>
      <w:divBdr>
        <w:top w:val="none" w:sz="0" w:space="0" w:color="auto"/>
        <w:left w:val="none" w:sz="0" w:space="0" w:color="auto"/>
        <w:bottom w:val="none" w:sz="0" w:space="0" w:color="auto"/>
        <w:right w:val="none" w:sz="0" w:space="0" w:color="auto"/>
      </w:divBdr>
    </w:div>
    <w:div w:id="1405297455">
      <w:bodyDiv w:val="1"/>
      <w:marLeft w:val="0"/>
      <w:marRight w:val="0"/>
      <w:marTop w:val="0"/>
      <w:marBottom w:val="0"/>
      <w:divBdr>
        <w:top w:val="none" w:sz="0" w:space="0" w:color="auto"/>
        <w:left w:val="none" w:sz="0" w:space="0" w:color="auto"/>
        <w:bottom w:val="none" w:sz="0" w:space="0" w:color="auto"/>
        <w:right w:val="none" w:sz="0" w:space="0" w:color="auto"/>
      </w:divBdr>
    </w:div>
    <w:div w:id="1416902488">
      <w:bodyDiv w:val="1"/>
      <w:marLeft w:val="0"/>
      <w:marRight w:val="0"/>
      <w:marTop w:val="0"/>
      <w:marBottom w:val="0"/>
      <w:divBdr>
        <w:top w:val="none" w:sz="0" w:space="0" w:color="auto"/>
        <w:left w:val="none" w:sz="0" w:space="0" w:color="auto"/>
        <w:bottom w:val="none" w:sz="0" w:space="0" w:color="auto"/>
        <w:right w:val="none" w:sz="0" w:space="0" w:color="auto"/>
      </w:divBdr>
    </w:div>
    <w:div w:id="1481531614">
      <w:bodyDiv w:val="1"/>
      <w:marLeft w:val="0"/>
      <w:marRight w:val="0"/>
      <w:marTop w:val="0"/>
      <w:marBottom w:val="0"/>
      <w:divBdr>
        <w:top w:val="none" w:sz="0" w:space="0" w:color="auto"/>
        <w:left w:val="none" w:sz="0" w:space="0" w:color="auto"/>
        <w:bottom w:val="none" w:sz="0" w:space="0" w:color="auto"/>
        <w:right w:val="none" w:sz="0" w:space="0" w:color="auto"/>
      </w:divBdr>
    </w:div>
    <w:div w:id="1528450335">
      <w:bodyDiv w:val="1"/>
      <w:marLeft w:val="0"/>
      <w:marRight w:val="0"/>
      <w:marTop w:val="0"/>
      <w:marBottom w:val="0"/>
      <w:divBdr>
        <w:top w:val="none" w:sz="0" w:space="0" w:color="auto"/>
        <w:left w:val="none" w:sz="0" w:space="0" w:color="auto"/>
        <w:bottom w:val="none" w:sz="0" w:space="0" w:color="auto"/>
        <w:right w:val="none" w:sz="0" w:space="0" w:color="auto"/>
      </w:divBdr>
    </w:div>
    <w:div w:id="1658529228">
      <w:bodyDiv w:val="1"/>
      <w:marLeft w:val="0"/>
      <w:marRight w:val="0"/>
      <w:marTop w:val="0"/>
      <w:marBottom w:val="0"/>
      <w:divBdr>
        <w:top w:val="none" w:sz="0" w:space="0" w:color="auto"/>
        <w:left w:val="none" w:sz="0" w:space="0" w:color="auto"/>
        <w:bottom w:val="none" w:sz="0" w:space="0" w:color="auto"/>
        <w:right w:val="none" w:sz="0" w:space="0" w:color="auto"/>
      </w:divBdr>
    </w:div>
    <w:div w:id="1699311570">
      <w:bodyDiv w:val="1"/>
      <w:marLeft w:val="0"/>
      <w:marRight w:val="0"/>
      <w:marTop w:val="0"/>
      <w:marBottom w:val="0"/>
      <w:divBdr>
        <w:top w:val="none" w:sz="0" w:space="0" w:color="auto"/>
        <w:left w:val="none" w:sz="0" w:space="0" w:color="auto"/>
        <w:bottom w:val="none" w:sz="0" w:space="0" w:color="auto"/>
        <w:right w:val="none" w:sz="0" w:space="0" w:color="auto"/>
      </w:divBdr>
    </w:div>
    <w:div w:id="1702170913">
      <w:bodyDiv w:val="1"/>
      <w:marLeft w:val="0"/>
      <w:marRight w:val="0"/>
      <w:marTop w:val="0"/>
      <w:marBottom w:val="0"/>
      <w:divBdr>
        <w:top w:val="none" w:sz="0" w:space="0" w:color="auto"/>
        <w:left w:val="none" w:sz="0" w:space="0" w:color="auto"/>
        <w:bottom w:val="none" w:sz="0" w:space="0" w:color="auto"/>
        <w:right w:val="none" w:sz="0" w:space="0" w:color="auto"/>
      </w:divBdr>
    </w:div>
    <w:div w:id="1703088439">
      <w:bodyDiv w:val="1"/>
      <w:marLeft w:val="0"/>
      <w:marRight w:val="0"/>
      <w:marTop w:val="0"/>
      <w:marBottom w:val="0"/>
      <w:divBdr>
        <w:top w:val="none" w:sz="0" w:space="0" w:color="auto"/>
        <w:left w:val="none" w:sz="0" w:space="0" w:color="auto"/>
        <w:bottom w:val="none" w:sz="0" w:space="0" w:color="auto"/>
        <w:right w:val="none" w:sz="0" w:space="0" w:color="auto"/>
      </w:divBdr>
    </w:div>
    <w:div w:id="1734235358">
      <w:bodyDiv w:val="1"/>
      <w:marLeft w:val="0"/>
      <w:marRight w:val="0"/>
      <w:marTop w:val="0"/>
      <w:marBottom w:val="0"/>
      <w:divBdr>
        <w:top w:val="none" w:sz="0" w:space="0" w:color="auto"/>
        <w:left w:val="none" w:sz="0" w:space="0" w:color="auto"/>
        <w:bottom w:val="none" w:sz="0" w:space="0" w:color="auto"/>
        <w:right w:val="none" w:sz="0" w:space="0" w:color="auto"/>
      </w:divBdr>
    </w:div>
    <w:div w:id="1874804802">
      <w:bodyDiv w:val="1"/>
      <w:marLeft w:val="0"/>
      <w:marRight w:val="0"/>
      <w:marTop w:val="0"/>
      <w:marBottom w:val="0"/>
      <w:divBdr>
        <w:top w:val="none" w:sz="0" w:space="0" w:color="auto"/>
        <w:left w:val="none" w:sz="0" w:space="0" w:color="auto"/>
        <w:bottom w:val="none" w:sz="0" w:space="0" w:color="auto"/>
        <w:right w:val="none" w:sz="0" w:space="0" w:color="auto"/>
      </w:divBdr>
    </w:div>
    <w:div w:id="1903784185">
      <w:bodyDiv w:val="1"/>
      <w:marLeft w:val="0"/>
      <w:marRight w:val="0"/>
      <w:marTop w:val="0"/>
      <w:marBottom w:val="0"/>
      <w:divBdr>
        <w:top w:val="none" w:sz="0" w:space="0" w:color="auto"/>
        <w:left w:val="none" w:sz="0" w:space="0" w:color="auto"/>
        <w:bottom w:val="none" w:sz="0" w:space="0" w:color="auto"/>
        <w:right w:val="none" w:sz="0" w:space="0" w:color="auto"/>
      </w:divBdr>
      <w:divsChild>
        <w:div w:id="819275471">
          <w:marLeft w:val="0"/>
          <w:marRight w:val="0"/>
          <w:marTop w:val="0"/>
          <w:marBottom w:val="0"/>
          <w:divBdr>
            <w:top w:val="none" w:sz="0" w:space="0" w:color="auto"/>
            <w:left w:val="none" w:sz="0" w:space="0" w:color="auto"/>
            <w:bottom w:val="none" w:sz="0" w:space="0" w:color="auto"/>
            <w:right w:val="none" w:sz="0" w:space="0" w:color="auto"/>
          </w:divBdr>
          <w:divsChild>
            <w:div w:id="19008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4204">
      <w:bodyDiv w:val="1"/>
      <w:marLeft w:val="0"/>
      <w:marRight w:val="0"/>
      <w:marTop w:val="0"/>
      <w:marBottom w:val="0"/>
      <w:divBdr>
        <w:top w:val="none" w:sz="0" w:space="0" w:color="auto"/>
        <w:left w:val="none" w:sz="0" w:space="0" w:color="auto"/>
        <w:bottom w:val="none" w:sz="0" w:space="0" w:color="auto"/>
        <w:right w:val="none" w:sz="0" w:space="0" w:color="auto"/>
      </w:divBdr>
    </w:div>
    <w:div w:id="1939218392">
      <w:bodyDiv w:val="1"/>
      <w:marLeft w:val="0"/>
      <w:marRight w:val="0"/>
      <w:marTop w:val="0"/>
      <w:marBottom w:val="0"/>
      <w:divBdr>
        <w:top w:val="none" w:sz="0" w:space="0" w:color="auto"/>
        <w:left w:val="none" w:sz="0" w:space="0" w:color="auto"/>
        <w:bottom w:val="none" w:sz="0" w:space="0" w:color="auto"/>
        <w:right w:val="none" w:sz="0" w:space="0" w:color="auto"/>
      </w:divBdr>
    </w:div>
    <w:div w:id="1950115558">
      <w:bodyDiv w:val="1"/>
      <w:marLeft w:val="0"/>
      <w:marRight w:val="0"/>
      <w:marTop w:val="0"/>
      <w:marBottom w:val="0"/>
      <w:divBdr>
        <w:top w:val="none" w:sz="0" w:space="0" w:color="auto"/>
        <w:left w:val="none" w:sz="0" w:space="0" w:color="auto"/>
        <w:bottom w:val="none" w:sz="0" w:space="0" w:color="auto"/>
        <w:right w:val="none" w:sz="0" w:space="0" w:color="auto"/>
      </w:divBdr>
      <w:divsChild>
        <w:div w:id="129442725">
          <w:marLeft w:val="0"/>
          <w:marRight w:val="0"/>
          <w:marTop w:val="0"/>
          <w:marBottom w:val="0"/>
          <w:divBdr>
            <w:top w:val="none" w:sz="0" w:space="0" w:color="auto"/>
            <w:left w:val="none" w:sz="0" w:space="0" w:color="auto"/>
            <w:bottom w:val="none" w:sz="0" w:space="0" w:color="auto"/>
            <w:right w:val="none" w:sz="0" w:space="0" w:color="auto"/>
          </w:divBdr>
          <w:divsChild>
            <w:div w:id="14659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60170">
      <w:bodyDiv w:val="1"/>
      <w:marLeft w:val="0"/>
      <w:marRight w:val="0"/>
      <w:marTop w:val="0"/>
      <w:marBottom w:val="0"/>
      <w:divBdr>
        <w:top w:val="none" w:sz="0" w:space="0" w:color="auto"/>
        <w:left w:val="none" w:sz="0" w:space="0" w:color="auto"/>
        <w:bottom w:val="none" w:sz="0" w:space="0" w:color="auto"/>
        <w:right w:val="none" w:sz="0" w:space="0" w:color="auto"/>
      </w:divBdr>
    </w:div>
    <w:div w:id="2023318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73AB1-A1EB-4772-A86C-F1832E27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6B543F58</Template>
  <TotalTime>146</TotalTime>
  <Pages>16</Pages>
  <Words>5056</Words>
  <Characters>26992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DRAFT</vt:lpstr>
    </vt:vector>
  </TitlesOfParts>
  <Company>Oxford City Council</Company>
  <LinksUpToDate>false</LinksUpToDate>
  <CharactersWithSpaces>31985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x</dc:creator>
  <cp:lastModifiedBy>sclaridge</cp:lastModifiedBy>
  <cp:revision>12</cp:revision>
  <cp:lastPrinted>2017-01-24T07:58:00Z</cp:lastPrinted>
  <dcterms:created xsi:type="dcterms:W3CDTF">2017-01-31T21:14:00Z</dcterms:created>
  <dcterms:modified xsi:type="dcterms:W3CDTF">2017-02-01T16:31:00Z</dcterms:modified>
</cp:coreProperties>
</file>